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BAE6A" w14:textId="77777777" w:rsidR="00A52F33" w:rsidRPr="00C16CE6" w:rsidRDefault="00A52F33" w:rsidP="001244A3">
      <w:pPr>
        <w:spacing w:line="0" w:lineRule="atLeast"/>
        <w:rPr>
          <w:rFonts w:eastAsia="Arial" w:cstheme="minorHAnsi"/>
          <w:b/>
          <w:sz w:val="44"/>
          <w:szCs w:val="44"/>
        </w:rPr>
      </w:pPr>
    </w:p>
    <w:p w14:paraId="7BDEDB57" w14:textId="77777777" w:rsidR="00A52F33" w:rsidRPr="00C16CE6" w:rsidRDefault="00A52F33" w:rsidP="001244A3"/>
    <w:p w14:paraId="2F9199B5" w14:textId="77777777" w:rsidR="00A52F33" w:rsidRPr="00C16CE6" w:rsidRDefault="00A52F33" w:rsidP="001244A3"/>
    <w:p w14:paraId="7FC28D64" w14:textId="77777777" w:rsidR="00A52F33" w:rsidRPr="00C16CE6" w:rsidRDefault="00A52F33" w:rsidP="001244A3"/>
    <w:p w14:paraId="65B730F5" w14:textId="1EA9BA4A" w:rsidR="00A52F33" w:rsidRPr="00C16CE6" w:rsidRDefault="00BD0EBB" w:rsidP="00D33D3D">
      <w:pPr>
        <w:jc w:val="center"/>
      </w:pPr>
      <w:r w:rsidRPr="00C16CE6">
        <w:rPr>
          <w:rFonts w:cstheme="minorHAnsi"/>
          <w:noProof/>
          <w:lang w:val="en-ZA" w:eastAsia="en-ZA"/>
        </w:rPr>
        <w:drawing>
          <wp:inline distT="0" distB="0" distL="0" distR="0" wp14:anchorId="705C58C2" wp14:editId="21C60D4E">
            <wp:extent cx="3023793" cy="1548765"/>
            <wp:effectExtent l="0" t="0" r="0" b="635"/>
            <wp:docPr id="9" name="Picture 9" descr="C:\Documents and Settings\x\Local Settings\Temp\GWViewer\new logo e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x\Local Settings\Temp\GWViewer\new logo eg. 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31133" cy="1552525"/>
                    </a:xfrm>
                    <a:prstGeom prst="rect">
                      <a:avLst/>
                    </a:prstGeom>
                    <a:noFill/>
                  </pic:spPr>
                </pic:pic>
              </a:graphicData>
            </a:graphic>
          </wp:inline>
        </w:drawing>
      </w:r>
    </w:p>
    <w:p w14:paraId="3FDE1C1E" w14:textId="77777777" w:rsidR="00A52F33" w:rsidRPr="00C16CE6" w:rsidRDefault="00A52F33" w:rsidP="001244A3"/>
    <w:p w14:paraId="46E98111" w14:textId="77777777" w:rsidR="00A52F33" w:rsidRPr="00C16CE6" w:rsidRDefault="00A52F33" w:rsidP="001244A3"/>
    <w:p w14:paraId="176FF3D2" w14:textId="70610606" w:rsidR="005E3FB7" w:rsidRPr="00BD0EBB" w:rsidRDefault="005E3FB7" w:rsidP="00D33D3D">
      <w:pPr>
        <w:spacing w:line="0" w:lineRule="atLeast"/>
        <w:jc w:val="center"/>
        <w:rPr>
          <w:rFonts w:ascii="Calibri Light" w:eastAsia="Arial" w:hAnsi="Calibri Light" w:cs="Calibri Light"/>
          <w:b/>
          <w:sz w:val="56"/>
          <w:szCs w:val="56"/>
        </w:rPr>
      </w:pPr>
      <w:r w:rsidRPr="00BD0EBB">
        <w:rPr>
          <w:rFonts w:ascii="Calibri Light" w:eastAsia="Arial" w:hAnsi="Calibri Light" w:cs="Calibri Light"/>
          <w:b/>
          <w:sz w:val="56"/>
          <w:szCs w:val="56"/>
        </w:rPr>
        <w:t xml:space="preserve">National </w:t>
      </w:r>
      <w:r w:rsidR="00EE23B0">
        <w:rPr>
          <w:rFonts w:ascii="Calibri Light" w:eastAsia="Arial" w:hAnsi="Calibri Light" w:cs="Calibri Light"/>
          <w:b/>
          <w:sz w:val="56"/>
          <w:szCs w:val="56"/>
        </w:rPr>
        <w:t xml:space="preserve">Clinical </w:t>
      </w:r>
      <w:r w:rsidR="007471AA" w:rsidRPr="00BD0EBB">
        <w:rPr>
          <w:rFonts w:ascii="Calibri Light" w:eastAsia="Arial" w:hAnsi="Calibri Light" w:cs="Calibri Light"/>
          <w:b/>
          <w:sz w:val="56"/>
          <w:szCs w:val="56"/>
        </w:rPr>
        <w:t xml:space="preserve">Guideline for Implementation of </w:t>
      </w:r>
      <w:r w:rsidR="004A790E">
        <w:rPr>
          <w:rFonts w:ascii="Calibri Light" w:eastAsia="Arial" w:hAnsi="Calibri Light" w:cs="Calibri Light"/>
          <w:b/>
          <w:sz w:val="56"/>
          <w:szCs w:val="56"/>
        </w:rPr>
        <w:t xml:space="preserve">the </w:t>
      </w:r>
      <w:r w:rsidR="007471AA" w:rsidRPr="00BD0EBB">
        <w:rPr>
          <w:rFonts w:ascii="Calibri Light" w:eastAsia="Arial" w:hAnsi="Calibri Light" w:cs="Calibri Light"/>
          <w:b/>
          <w:sz w:val="56"/>
          <w:szCs w:val="56"/>
        </w:rPr>
        <w:t>Choice on Termination of Pregnancy Act</w:t>
      </w:r>
    </w:p>
    <w:p w14:paraId="08B609A1" w14:textId="77777777" w:rsidR="00A52F33" w:rsidRPr="00BD0EBB" w:rsidRDefault="00A52F33" w:rsidP="00D33D3D">
      <w:pPr>
        <w:spacing w:line="0" w:lineRule="atLeast"/>
        <w:jc w:val="center"/>
        <w:rPr>
          <w:rFonts w:ascii="Calibri Light" w:eastAsia="Arial" w:hAnsi="Calibri Light" w:cs="Calibri Light"/>
          <w:b/>
          <w:sz w:val="56"/>
          <w:szCs w:val="56"/>
        </w:rPr>
      </w:pPr>
    </w:p>
    <w:p w14:paraId="4A9C215B" w14:textId="4098B591" w:rsidR="00A52F33" w:rsidRPr="00BD0EBB" w:rsidRDefault="00F65348" w:rsidP="00D33D3D">
      <w:pPr>
        <w:spacing w:line="0" w:lineRule="atLeast"/>
        <w:jc w:val="center"/>
        <w:rPr>
          <w:rFonts w:ascii="Calibri Light" w:eastAsia="Arial" w:hAnsi="Calibri Light" w:cs="Calibri Light"/>
          <w:b/>
          <w:sz w:val="56"/>
          <w:szCs w:val="56"/>
        </w:rPr>
      </w:pPr>
      <w:r w:rsidRPr="00BD0EBB">
        <w:rPr>
          <w:rFonts w:ascii="Calibri Light" w:eastAsia="Arial" w:hAnsi="Calibri Light" w:cs="Calibri Light"/>
          <w:b/>
          <w:sz w:val="56"/>
          <w:szCs w:val="56"/>
        </w:rPr>
        <w:t>2019</w:t>
      </w:r>
    </w:p>
    <w:p w14:paraId="62B87EEB" w14:textId="77777777" w:rsidR="00A52F33" w:rsidRPr="00C16CE6" w:rsidRDefault="00A52F33" w:rsidP="00D33D3D">
      <w:pPr>
        <w:spacing w:line="0" w:lineRule="atLeast"/>
        <w:jc w:val="center"/>
        <w:rPr>
          <w:rFonts w:ascii="Calibri" w:hAnsi="Calibri" w:cs="Calibri"/>
          <w:color w:val="000000"/>
          <w:sz w:val="24"/>
        </w:rPr>
      </w:pPr>
    </w:p>
    <w:p w14:paraId="57B2C722" w14:textId="77777777" w:rsidR="00A52F33" w:rsidRPr="00C16CE6" w:rsidRDefault="00A52F33" w:rsidP="00D33D3D">
      <w:pPr>
        <w:jc w:val="center"/>
      </w:pPr>
    </w:p>
    <w:p w14:paraId="06640347" w14:textId="6EC139AA" w:rsidR="009D4146" w:rsidRPr="00C16CE6" w:rsidRDefault="009D4146" w:rsidP="00D33D3D">
      <w:pPr>
        <w:jc w:val="center"/>
      </w:pPr>
    </w:p>
    <w:p w14:paraId="05CE25AC" w14:textId="5087F526" w:rsidR="00A52F33" w:rsidRPr="00C16CE6" w:rsidRDefault="00A52F33" w:rsidP="001244A3"/>
    <w:p w14:paraId="09B19DFC" w14:textId="77777777" w:rsidR="00A52F33" w:rsidRPr="00C16CE6" w:rsidRDefault="00A52F33" w:rsidP="001244A3">
      <w:pPr>
        <w:sectPr w:rsidR="00A52F33" w:rsidRPr="00C16CE6" w:rsidSect="00605059">
          <w:headerReference w:type="default" r:id="rId10"/>
          <w:footerReference w:type="even" r:id="rId11"/>
          <w:pgSz w:w="12240" w:h="15840"/>
          <w:pgMar w:top="1440" w:right="1440" w:bottom="1440" w:left="1440" w:header="720" w:footer="720" w:gutter="0"/>
          <w:cols w:space="720"/>
          <w:docGrid w:linePitch="360"/>
        </w:sectPr>
      </w:pPr>
    </w:p>
    <w:p w14:paraId="7D55969F" w14:textId="77777777" w:rsidR="00BD0EBB" w:rsidRPr="00C16CE6" w:rsidRDefault="00BD0EBB" w:rsidP="00BD0EBB">
      <w:pPr>
        <w:tabs>
          <w:tab w:val="left" w:pos="3240"/>
        </w:tabs>
        <w:autoSpaceDE w:val="0"/>
        <w:autoSpaceDN w:val="0"/>
        <w:adjustRightInd w:val="0"/>
        <w:spacing w:line="240" w:lineRule="auto"/>
        <w:rPr>
          <w:rFonts w:cstheme="minorHAnsi"/>
          <w:b/>
          <w:bCs/>
          <w:sz w:val="20"/>
          <w:szCs w:val="20"/>
        </w:rPr>
      </w:pPr>
      <w:r>
        <w:rPr>
          <w:rFonts w:cstheme="minorHAnsi"/>
          <w:b/>
          <w:bCs/>
          <w:sz w:val="20"/>
          <w:szCs w:val="20"/>
        </w:rPr>
        <w:lastRenderedPageBreak/>
        <w:t>National Department of Health</w:t>
      </w:r>
      <w:r w:rsidRPr="00C16CE6">
        <w:rPr>
          <w:rFonts w:cstheme="minorHAnsi"/>
          <w:b/>
          <w:bCs/>
          <w:sz w:val="20"/>
          <w:szCs w:val="20"/>
        </w:rPr>
        <w:t xml:space="preserve"> Library Cataloguing-in-Publication Data</w:t>
      </w:r>
    </w:p>
    <w:p w14:paraId="57804AC5" w14:textId="77777777" w:rsidR="00BD0EBB" w:rsidRPr="00C16CE6" w:rsidRDefault="00BD0EBB" w:rsidP="00BD0EBB">
      <w:pPr>
        <w:autoSpaceDE w:val="0"/>
        <w:autoSpaceDN w:val="0"/>
        <w:adjustRightInd w:val="0"/>
        <w:spacing w:line="240" w:lineRule="auto"/>
        <w:rPr>
          <w:rFonts w:cstheme="minorHAnsi"/>
          <w:sz w:val="20"/>
          <w:szCs w:val="20"/>
        </w:rPr>
      </w:pPr>
      <w:r>
        <w:rPr>
          <w:rFonts w:cstheme="minorHAnsi"/>
          <w:sz w:val="20"/>
          <w:szCs w:val="20"/>
        </w:rPr>
        <w:t>National Integrated Sexual and Reproductive Health &amp; Rights</w:t>
      </w:r>
      <w:r w:rsidRPr="00C16CE6">
        <w:rPr>
          <w:rFonts w:cstheme="minorHAnsi"/>
          <w:sz w:val="20"/>
          <w:szCs w:val="20"/>
        </w:rPr>
        <w:t xml:space="preserve"> Policy Ed. 1</w:t>
      </w:r>
    </w:p>
    <w:p w14:paraId="6FC14EE4" w14:textId="77777777" w:rsidR="00BD0EBB" w:rsidRPr="00C16CE6" w:rsidRDefault="00BD0EBB" w:rsidP="00BD0EBB">
      <w:pPr>
        <w:autoSpaceDE w:val="0"/>
        <w:autoSpaceDN w:val="0"/>
        <w:adjustRightInd w:val="0"/>
        <w:spacing w:line="240" w:lineRule="auto"/>
        <w:rPr>
          <w:rFonts w:cstheme="minorHAnsi"/>
          <w:b/>
          <w:bCs/>
          <w:sz w:val="20"/>
          <w:szCs w:val="20"/>
        </w:rPr>
      </w:pPr>
    </w:p>
    <w:p w14:paraId="65FC6D2C" w14:textId="77777777" w:rsidR="00BD0EBB" w:rsidRPr="00C16CE6" w:rsidRDefault="00BD0EBB" w:rsidP="00BD0EBB">
      <w:pPr>
        <w:autoSpaceDE w:val="0"/>
        <w:autoSpaceDN w:val="0"/>
        <w:adjustRightInd w:val="0"/>
        <w:spacing w:line="240" w:lineRule="auto"/>
        <w:rPr>
          <w:rFonts w:cstheme="minorHAnsi"/>
          <w:sz w:val="20"/>
          <w:szCs w:val="20"/>
        </w:rPr>
      </w:pPr>
      <w:r w:rsidRPr="00C16CE6">
        <w:rPr>
          <w:rFonts w:cstheme="minorHAnsi"/>
          <w:sz w:val="20"/>
          <w:szCs w:val="20"/>
        </w:rPr>
        <w:t>ISBN</w:t>
      </w:r>
    </w:p>
    <w:p w14:paraId="2388AA72" w14:textId="4CFFAF14" w:rsidR="00A52F33" w:rsidRPr="00C16CE6" w:rsidRDefault="00A52F33" w:rsidP="001244A3">
      <w:pPr>
        <w:rPr>
          <w:rFonts w:cstheme="minorHAnsi"/>
          <w:sz w:val="20"/>
          <w:szCs w:val="20"/>
        </w:rPr>
      </w:pPr>
    </w:p>
    <w:p w14:paraId="08020174" w14:textId="77777777" w:rsidR="00A52F33" w:rsidRPr="00C16CE6" w:rsidRDefault="00A52F33" w:rsidP="001244A3"/>
    <w:p w14:paraId="71ECCD22" w14:textId="77777777" w:rsidR="00A52F33" w:rsidRPr="00C16CE6" w:rsidRDefault="00A52F33" w:rsidP="001244A3"/>
    <w:p w14:paraId="1F3D62AB" w14:textId="77777777" w:rsidR="00A52F33" w:rsidRPr="00C16CE6" w:rsidRDefault="00A52F33" w:rsidP="001244A3">
      <w:pPr>
        <w:spacing w:line="0" w:lineRule="atLeast"/>
        <w:rPr>
          <w:rFonts w:eastAsia="Arial" w:cstheme="minorHAnsi"/>
          <w:color w:val="333333"/>
          <w:szCs w:val="22"/>
        </w:rPr>
      </w:pPr>
    </w:p>
    <w:p w14:paraId="23C4C084" w14:textId="77777777" w:rsidR="00A52F33" w:rsidRPr="00C16CE6" w:rsidRDefault="00A52F33" w:rsidP="001244A3">
      <w:pPr>
        <w:spacing w:line="0" w:lineRule="atLeast"/>
        <w:rPr>
          <w:rFonts w:eastAsia="Arial" w:cstheme="minorHAnsi"/>
          <w:color w:val="333333"/>
          <w:szCs w:val="22"/>
        </w:rPr>
      </w:pPr>
    </w:p>
    <w:p w14:paraId="635D6EFB" w14:textId="77777777" w:rsidR="00A52F33" w:rsidRPr="00C16CE6" w:rsidRDefault="00A52F33" w:rsidP="001244A3">
      <w:pPr>
        <w:spacing w:line="0" w:lineRule="atLeast"/>
        <w:rPr>
          <w:rFonts w:eastAsia="Arial" w:cstheme="minorHAnsi"/>
          <w:color w:val="333333"/>
          <w:szCs w:val="22"/>
        </w:rPr>
      </w:pPr>
    </w:p>
    <w:p w14:paraId="3EF09ACB" w14:textId="191F3DDE" w:rsidR="00A52F33" w:rsidRPr="00C16CE6" w:rsidRDefault="00A52F33" w:rsidP="001244A3">
      <w:pPr>
        <w:spacing w:line="0" w:lineRule="atLeast"/>
        <w:rPr>
          <w:rFonts w:eastAsia="Arial" w:cstheme="minorHAnsi"/>
          <w:color w:val="333333"/>
          <w:szCs w:val="22"/>
        </w:rPr>
      </w:pPr>
    </w:p>
    <w:p w14:paraId="5E952505" w14:textId="77777777" w:rsidR="001631F1" w:rsidRPr="00C16CE6" w:rsidRDefault="001631F1" w:rsidP="001244A3">
      <w:pPr>
        <w:spacing w:line="0" w:lineRule="atLeast"/>
        <w:rPr>
          <w:rFonts w:eastAsia="Arial" w:cstheme="minorHAnsi"/>
          <w:color w:val="333333"/>
          <w:szCs w:val="22"/>
        </w:rPr>
      </w:pPr>
    </w:p>
    <w:p w14:paraId="59695F04" w14:textId="77777777" w:rsidR="00A52F33" w:rsidRPr="00C16CE6" w:rsidRDefault="00A52F33" w:rsidP="001244A3">
      <w:pPr>
        <w:spacing w:line="0" w:lineRule="atLeast"/>
        <w:rPr>
          <w:rFonts w:eastAsia="Arial" w:cstheme="minorHAnsi"/>
          <w:color w:val="333333"/>
          <w:szCs w:val="22"/>
        </w:rPr>
      </w:pPr>
    </w:p>
    <w:p w14:paraId="4F303E4E" w14:textId="77777777" w:rsidR="00A52F33" w:rsidRPr="00C16CE6" w:rsidRDefault="00A52F33" w:rsidP="001244A3">
      <w:pPr>
        <w:spacing w:line="0" w:lineRule="atLeast"/>
        <w:rPr>
          <w:rFonts w:eastAsia="Arial" w:cstheme="minorHAnsi"/>
          <w:color w:val="333333"/>
          <w:szCs w:val="22"/>
        </w:rPr>
      </w:pPr>
    </w:p>
    <w:p w14:paraId="234309FB" w14:textId="77777777" w:rsidR="00A52F33" w:rsidRPr="00C16CE6" w:rsidRDefault="00A52F33" w:rsidP="001244A3">
      <w:pPr>
        <w:spacing w:line="0" w:lineRule="atLeast"/>
        <w:rPr>
          <w:rFonts w:eastAsia="Arial" w:cstheme="minorHAnsi"/>
          <w:color w:val="333333"/>
          <w:szCs w:val="22"/>
        </w:rPr>
      </w:pPr>
    </w:p>
    <w:p w14:paraId="5A1294DD" w14:textId="77777777" w:rsidR="00A52F33" w:rsidRPr="00C16CE6" w:rsidRDefault="00A52F33" w:rsidP="001244A3">
      <w:pPr>
        <w:spacing w:line="0" w:lineRule="atLeast"/>
        <w:rPr>
          <w:rFonts w:eastAsia="Arial" w:cstheme="minorHAnsi"/>
          <w:color w:val="333333"/>
          <w:szCs w:val="22"/>
        </w:rPr>
      </w:pPr>
    </w:p>
    <w:p w14:paraId="6CA3C7EF" w14:textId="77777777" w:rsidR="00F53FDC" w:rsidRPr="00C16CE6" w:rsidRDefault="00F53FDC" w:rsidP="001244A3">
      <w:pPr>
        <w:spacing w:line="0" w:lineRule="atLeast"/>
        <w:rPr>
          <w:rFonts w:eastAsia="Arial" w:cstheme="minorHAnsi"/>
          <w:color w:val="333333"/>
          <w:sz w:val="20"/>
          <w:szCs w:val="20"/>
        </w:rPr>
      </w:pPr>
    </w:p>
    <w:p w14:paraId="684401E1" w14:textId="77777777" w:rsidR="00F53FDC" w:rsidRPr="00C16CE6" w:rsidRDefault="00F53FDC" w:rsidP="001244A3">
      <w:pPr>
        <w:spacing w:line="0" w:lineRule="atLeast"/>
        <w:rPr>
          <w:rFonts w:eastAsia="Arial" w:cstheme="minorHAnsi"/>
          <w:color w:val="333333"/>
          <w:sz w:val="20"/>
          <w:szCs w:val="20"/>
        </w:rPr>
      </w:pPr>
    </w:p>
    <w:p w14:paraId="396CEAA2" w14:textId="77777777" w:rsidR="00F53FDC" w:rsidRPr="00C16CE6" w:rsidRDefault="00F53FDC" w:rsidP="001244A3">
      <w:pPr>
        <w:spacing w:line="0" w:lineRule="atLeast"/>
        <w:rPr>
          <w:rFonts w:eastAsia="Arial" w:cstheme="minorHAnsi"/>
          <w:color w:val="333333"/>
          <w:sz w:val="20"/>
          <w:szCs w:val="20"/>
        </w:rPr>
      </w:pPr>
    </w:p>
    <w:p w14:paraId="0C65379C" w14:textId="77777777" w:rsidR="00F53FDC" w:rsidRPr="00C16CE6" w:rsidRDefault="00F53FDC" w:rsidP="001244A3">
      <w:pPr>
        <w:spacing w:line="0" w:lineRule="atLeast"/>
        <w:rPr>
          <w:rFonts w:eastAsia="Arial" w:cstheme="minorHAnsi"/>
          <w:color w:val="333333"/>
          <w:sz w:val="20"/>
          <w:szCs w:val="20"/>
        </w:rPr>
      </w:pPr>
    </w:p>
    <w:p w14:paraId="55BE5F35" w14:textId="77777777" w:rsidR="002007E1" w:rsidRPr="00C16CE6" w:rsidRDefault="002007E1" w:rsidP="001244A3">
      <w:pPr>
        <w:spacing w:line="0" w:lineRule="atLeast"/>
        <w:rPr>
          <w:rFonts w:eastAsia="Arial" w:cstheme="minorHAnsi"/>
          <w:color w:val="333333"/>
          <w:sz w:val="20"/>
          <w:szCs w:val="20"/>
        </w:rPr>
      </w:pPr>
    </w:p>
    <w:p w14:paraId="4938EAEC" w14:textId="77777777" w:rsidR="002007E1" w:rsidRPr="00C16CE6" w:rsidRDefault="002007E1" w:rsidP="001244A3">
      <w:pPr>
        <w:spacing w:line="0" w:lineRule="atLeast"/>
        <w:rPr>
          <w:rFonts w:eastAsia="Arial" w:cstheme="minorHAnsi"/>
          <w:color w:val="333333"/>
          <w:sz w:val="20"/>
          <w:szCs w:val="20"/>
        </w:rPr>
      </w:pPr>
    </w:p>
    <w:p w14:paraId="3D2883BB" w14:textId="77777777" w:rsidR="002007E1" w:rsidRPr="00C16CE6" w:rsidRDefault="002007E1" w:rsidP="001244A3">
      <w:pPr>
        <w:spacing w:line="0" w:lineRule="atLeast"/>
        <w:rPr>
          <w:rFonts w:eastAsia="Arial" w:cstheme="minorHAnsi"/>
          <w:color w:val="333333"/>
          <w:sz w:val="20"/>
          <w:szCs w:val="20"/>
        </w:rPr>
      </w:pPr>
    </w:p>
    <w:p w14:paraId="312843B2" w14:textId="77777777" w:rsidR="002007E1" w:rsidRPr="00C16CE6" w:rsidRDefault="002007E1" w:rsidP="001244A3">
      <w:pPr>
        <w:spacing w:line="0" w:lineRule="atLeast"/>
        <w:rPr>
          <w:rFonts w:eastAsia="Arial" w:cstheme="minorHAnsi"/>
          <w:color w:val="333333"/>
          <w:sz w:val="20"/>
          <w:szCs w:val="20"/>
        </w:rPr>
      </w:pPr>
    </w:p>
    <w:p w14:paraId="215D1E9D" w14:textId="77777777" w:rsidR="002007E1" w:rsidRPr="00C16CE6" w:rsidRDefault="002007E1" w:rsidP="001244A3">
      <w:pPr>
        <w:spacing w:line="0" w:lineRule="atLeast"/>
        <w:rPr>
          <w:rFonts w:eastAsia="Arial" w:cstheme="minorHAnsi"/>
          <w:color w:val="333333"/>
          <w:sz w:val="20"/>
          <w:szCs w:val="20"/>
        </w:rPr>
      </w:pPr>
    </w:p>
    <w:p w14:paraId="2BB20D0E" w14:textId="77777777" w:rsidR="002007E1" w:rsidRPr="00C16CE6" w:rsidRDefault="002007E1" w:rsidP="001244A3">
      <w:pPr>
        <w:spacing w:line="0" w:lineRule="atLeast"/>
        <w:rPr>
          <w:rFonts w:eastAsia="Arial" w:cstheme="minorHAnsi"/>
          <w:color w:val="333333"/>
          <w:sz w:val="20"/>
          <w:szCs w:val="20"/>
        </w:rPr>
      </w:pPr>
    </w:p>
    <w:p w14:paraId="507423E0" w14:textId="77777777" w:rsidR="00A52F33" w:rsidRDefault="00A52F33" w:rsidP="001244A3">
      <w:pPr>
        <w:rPr>
          <w:rFonts w:eastAsia="Arial" w:cstheme="minorHAnsi"/>
          <w:color w:val="333333"/>
          <w:sz w:val="20"/>
          <w:szCs w:val="20"/>
        </w:rPr>
      </w:pPr>
    </w:p>
    <w:p w14:paraId="4717D671" w14:textId="77777777" w:rsidR="00BD0EBB" w:rsidRDefault="00BD0EBB" w:rsidP="001244A3"/>
    <w:p w14:paraId="77E0EDEA" w14:textId="77777777" w:rsidR="00BD0EBB" w:rsidRDefault="00BD0EBB" w:rsidP="001244A3"/>
    <w:p w14:paraId="21141AD0" w14:textId="77777777" w:rsidR="00BD0EBB" w:rsidRDefault="00BD0EBB" w:rsidP="001244A3"/>
    <w:p w14:paraId="357CC280" w14:textId="77777777" w:rsidR="00BD0EBB" w:rsidRDefault="00BD0EBB" w:rsidP="001244A3"/>
    <w:p w14:paraId="0E7CFC65" w14:textId="77777777" w:rsidR="00BD0EBB" w:rsidRDefault="00BD0EBB" w:rsidP="001244A3"/>
    <w:p w14:paraId="3F898426" w14:textId="77777777" w:rsidR="00BD0EBB" w:rsidRDefault="00BD0EBB" w:rsidP="001244A3"/>
    <w:p w14:paraId="151F0391" w14:textId="77777777" w:rsidR="00BD0EBB" w:rsidRDefault="00BD0EBB" w:rsidP="001244A3"/>
    <w:p w14:paraId="4CB7E0F9" w14:textId="77777777" w:rsidR="00BD0EBB" w:rsidRDefault="00BD0EBB" w:rsidP="001244A3"/>
    <w:p w14:paraId="3AD1A9B1" w14:textId="77777777" w:rsidR="00BD0EBB" w:rsidRDefault="00BD0EBB" w:rsidP="00BD0EBB">
      <w:pPr>
        <w:spacing w:line="0" w:lineRule="atLeast"/>
        <w:rPr>
          <w:rFonts w:eastAsia="Arial" w:cstheme="minorHAnsi"/>
          <w:color w:val="333333"/>
          <w:sz w:val="20"/>
          <w:szCs w:val="20"/>
        </w:rPr>
      </w:pPr>
    </w:p>
    <w:p w14:paraId="602DE5CF" w14:textId="77777777" w:rsidR="00BD0EBB" w:rsidRDefault="00BD0EBB" w:rsidP="00BD0EBB">
      <w:pPr>
        <w:spacing w:line="0" w:lineRule="atLeast"/>
        <w:rPr>
          <w:rFonts w:eastAsia="Arial" w:cstheme="minorHAnsi"/>
          <w:color w:val="333333"/>
          <w:sz w:val="20"/>
          <w:szCs w:val="20"/>
        </w:rPr>
      </w:pPr>
    </w:p>
    <w:p w14:paraId="405CE858" w14:textId="77777777" w:rsidR="00BD0EBB" w:rsidRDefault="00BD0EBB" w:rsidP="00BD0EBB">
      <w:pPr>
        <w:spacing w:line="0" w:lineRule="atLeast"/>
        <w:rPr>
          <w:rFonts w:eastAsia="Arial" w:cstheme="minorHAnsi"/>
          <w:color w:val="333333"/>
          <w:sz w:val="20"/>
          <w:szCs w:val="20"/>
        </w:rPr>
      </w:pPr>
    </w:p>
    <w:p w14:paraId="0AA9D2EF" w14:textId="77777777" w:rsidR="00BD0EBB" w:rsidRDefault="00BD0EBB" w:rsidP="00BD0EBB">
      <w:pPr>
        <w:spacing w:line="0" w:lineRule="atLeast"/>
        <w:rPr>
          <w:rFonts w:eastAsia="Arial" w:cstheme="minorHAnsi"/>
          <w:color w:val="333333"/>
          <w:sz w:val="20"/>
          <w:szCs w:val="20"/>
        </w:rPr>
      </w:pPr>
    </w:p>
    <w:p w14:paraId="1C349735" w14:textId="77777777" w:rsidR="00BD0EBB" w:rsidRDefault="00BD0EBB" w:rsidP="00BD0EBB">
      <w:pPr>
        <w:spacing w:line="0" w:lineRule="atLeast"/>
        <w:rPr>
          <w:rFonts w:eastAsia="Arial" w:cstheme="minorHAnsi"/>
          <w:color w:val="333333"/>
          <w:sz w:val="20"/>
          <w:szCs w:val="20"/>
        </w:rPr>
      </w:pPr>
    </w:p>
    <w:p w14:paraId="2743F263" w14:textId="77777777" w:rsidR="00BD0EBB" w:rsidRDefault="00BD0EBB" w:rsidP="00BD0EBB">
      <w:pPr>
        <w:spacing w:line="0" w:lineRule="atLeast"/>
        <w:rPr>
          <w:rFonts w:eastAsia="Arial" w:cstheme="minorHAnsi"/>
          <w:color w:val="333333"/>
          <w:sz w:val="20"/>
          <w:szCs w:val="20"/>
        </w:rPr>
      </w:pPr>
    </w:p>
    <w:p w14:paraId="453E9DA1" w14:textId="28999709" w:rsidR="00BD0EBB" w:rsidRDefault="00BD0EBB" w:rsidP="00BD0EBB">
      <w:pPr>
        <w:spacing w:line="0" w:lineRule="atLeast"/>
        <w:rPr>
          <w:rFonts w:eastAsia="Arial" w:cstheme="minorHAnsi"/>
          <w:color w:val="333333"/>
          <w:sz w:val="20"/>
          <w:szCs w:val="20"/>
        </w:rPr>
      </w:pPr>
      <w:r w:rsidRPr="00C16CE6">
        <w:rPr>
          <w:rFonts w:eastAsia="Arial" w:cstheme="minorHAnsi"/>
          <w:color w:val="333333"/>
          <w:sz w:val="20"/>
          <w:szCs w:val="20"/>
        </w:rPr>
        <w:t xml:space="preserve">Published by the </w:t>
      </w:r>
      <w:r>
        <w:rPr>
          <w:rFonts w:eastAsia="Arial" w:cstheme="minorHAnsi"/>
          <w:color w:val="333333"/>
          <w:sz w:val="20"/>
          <w:szCs w:val="20"/>
        </w:rPr>
        <w:t xml:space="preserve">National Department of Health, Republic of South Africa, 2019 </w:t>
      </w:r>
    </w:p>
    <w:p w14:paraId="0E31F5EB" w14:textId="77777777" w:rsidR="00BD0EBB" w:rsidRDefault="00BD0EBB" w:rsidP="00BD0EBB">
      <w:pPr>
        <w:spacing w:line="0" w:lineRule="atLeast"/>
        <w:rPr>
          <w:rFonts w:eastAsia="Arial" w:cstheme="minorHAnsi"/>
          <w:color w:val="333333"/>
          <w:sz w:val="20"/>
          <w:szCs w:val="20"/>
        </w:rPr>
      </w:pPr>
    </w:p>
    <w:p w14:paraId="2DB3F657" w14:textId="77777777" w:rsidR="00BD0EBB" w:rsidRDefault="00BD0EBB" w:rsidP="00BD0EBB">
      <w:pPr>
        <w:spacing w:line="0" w:lineRule="atLeast"/>
        <w:rPr>
          <w:rFonts w:eastAsia="Arial" w:cstheme="minorHAnsi"/>
          <w:color w:val="333333"/>
          <w:sz w:val="20"/>
          <w:szCs w:val="20"/>
        </w:rPr>
      </w:pPr>
      <w:r>
        <w:rPr>
          <w:rFonts w:eastAsia="Arial" w:cstheme="minorHAnsi"/>
          <w:color w:val="333333"/>
          <w:sz w:val="20"/>
          <w:szCs w:val="20"/>
        </w:rPr>
        <w:t>Civitas Building, 222 Thabo Sehume St.,</w:t>
      </w:r>
    </w:p>
    <w:p w14:paraId="6BFE2365" w14:textId="77777777" w:rsidR="00BD0EBB" w:rsidRDefault="00BD0EBB" w:rsidP="00BD0EBB">
      <w:pPr>
        <w:spacing w:line="0" w:lineRule="atLeast"/>
        <w:rPr>
          <w:rFonts w:eastAsia="Arial" w:cstheme="minorHAnsi"/>
          <w:color w:val="333333"/>
          <w:sz w:val="20"/>
          <w:szCs w:val="20"/>
        </w:rPr>
      </w:pPr>
      <w:r>
        <w:rPr>
          <w:rFonts w:eastAsia="Arial" w:cstheme="minorHAnsi"/>
          <w:color w:val="333333"/>
          <w:sz w:val="20"/>
          <w:szCs w:val="20"/>
        </w:rPr>
        <w:t>CBD Pretoria, 0001</w:t>
      </w:r>
    </w:p>
    <w:p w14:paraId="0FA0D7F3" w14:textId="77777777" w:rsidR="00BD0EBB" w:rsidRDefault="00BD0EBB" w:rsidP="00BD0EBB">
      <w:pPr>
        <w:spacing w:line="0" w:lineRule="atLeast"/>
        <w:rPr>
          <w:rFonts w:eastAsia="Arial" w:cstheme="minorHAnsi"/>
          <w:color w:val="333333"/>
          <w:sz w:val="20"/>
          <w:szCs w:val="20"/>
        </w:rPr>
      </w:pPr>
      <w:r>
        <w:rPr>
          <w:rFonts w:eastAsia="Arial" w:cstheme="minorHAnsi"/>
          <w:color w:val="333333"/>
          <w:sz w:val="20"/>
          <w:szCs w:val="20"/>
        </w:rPr>
        <w:t>012 395 8000</w:t>
      </w:r>
    </w:p>
    <w:p w14:paraId="28893B4D" w14:textId="77777777" w:rsidR="00BD0EBB" w:rsidRDefault="003351E3" w:rsidP="00BD0EBB">
      <w:pPr>
        <w:spacing w:line="0" w:lineRule="atLeast"/>
        <w:rPr>
          <w:rFonts w:eastAsia="Arial" w:cstheme="minorHAnsi"/>
          <w:color w:val="333333"/>
          <w:sz w:val="20"/>
          <w:szCs w:val="20"/>
        </w:rPr>
      </w:pPr>
      <w:hyperlink r:id="rId12" w:history="1">
        <w:r w:rsidR="00BD0EBB" w:rsidRPr="00BE54C2">
          <w:rPr>
            <w:rStyle w:val="Hyperlink"/>
            <w:rFonts w:eastAsia="Arial" w:cstheme="minorHAnsi"/>
            <w:sz w:val="20"/>
            <w:szCs w:val="20"/>
          </w:rPr>
          <w:t>http://www.health.gov.za</w:t>
        </w:r>
      </w:hyperlink>
    </w:p>
    <w:p w14:paraId="5E9463FD" w14:textId="61D89423" w:rsidR="00BD0EBB" w:rsidRPr="00C16CE6" w:rsidRDefault="00BD0EBB" w:rsidP="001244A3">
      <w:pPr>
        <w:sectPr w:rsidR="00BD0EBB" w:rsidRPr="00C16CE6" w:rsidSect="00605059">
          <w:footerReference w:type="default" r:id="rId13"/>
          <w:pgSz w:w="12240" w:h="15840"/>
          <w:pgMar w:top="1440" w:right="1440" w:bottom="1440" w:left="1440" w:header="720" w:footer="720" w:gutter="0"/>
          <w:cols w:space="720"/>
          <w:docGrid w:linePitch="360"/>
        </w:sectPr>
      </w:pPr>
    </w:p>
    <w:p w14:paraId="3B9E114B" w14:textId="18F446AE" w:rsidR="004E0B52" w:rsidRDefault="0016257D" w:rsidP="003351E3">
      <w:pPr>
        <w:rPr>
          <w:szCs w:val="22"/>
        </w:rPr>
      </w:pPr>
      <w:r w:rsidRPr="0016257D">
        <w:rPr>
          <w:noProof/>
          <w:szCs w:val="22"/>
          <w:lang w:val="en-ZA" w:eastAsia="en-ZA"/>
        </w:rPr>
        <w:lastRenderedPageBreak/>
        <w:drawing>
          <wp:anchor distT="0" distB="0" distL="114300" distR="114300" simplePos="0" relativeHeight="251686912" behindDoc="0" locked="0" layoutInCell="1" allowOverlap="1" wp14:anchorId="6779BF36" wp14:editId="689C4E08">
            <wp:simplePos x="0" y="0"/>
            <wp:positionH relativeFrom="column">
              <wp:posOffset>0</wp:posOffset>
            </wp:positionH>
            <wp:positionV relativeFrom="paragraph">
              <wp:posOffset>-1270</wp:posOffset>
            </wp:positionV>
            <wp:extent cx="1828800" cy="1828800"/>
            <wp:effectExtent l="0" t="0" r="0" b="0"/>
            <wp:wrapSquare wrapText="bothSides"/>
            <wp:docPr id="7" name="Picture 7" descr="C:\Users\vmagomani\AppData\Local\Microsoft\Windows\INetCache\Content.Outlook\1CIHDMF1\Official photo - 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gomani\AppData\Local\Microsoft\Windows\INetCache\Content.Outlook\1CIHDMF1\Official photo - D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4E0B52" w:rsidRPr="0086330A">
        <w:rPr>
          <w:szCs w:val="22"/>
        </w:rPr>
        <w:t>S</w:t>
      </w:r>
      <w:r w:rsidR="004E0B52">
        <w:rPr>
          <w:szCs w:val="22"/>
        </w:rPr>
        <w:t>outh Africa remains committed to</w:t>
      </w:r>
      <w:r w:rsidR="004E0B52" w:rsidRPr="0086330A">
        <w:rPr>
          <w:szCs w:val="22"/>
        </w:rPr>
        <w:t xml:space="preserve"> providing comprehensive sexual and reproductive services </w:t>
      </w:r>
      <w:r w:rsidR="00587977">
        <w:rPr>
          <w:szCs w:val="22"/>
        </w:rPr>
        <w:t>with</w:t>
      </w:r>
      <w:r w:rsidR="001815F4">
        <w:rPr>
          <w:szCs w:val="22"/>
        </w:rPr>
        <w:t xml:space="preserve"> an equitable and rights-</w:t>
      </w:r>
      <w:r w:rsidR="004E0B52" w:rsidRPr="0086330A">
        <w:rPr>
          <w:szCs w:val="22"/>
        </w:rPr>
        <w:t xml:space="preserve">based </w:t>
      </w:r>
      <w:bookmarkStart w:id="0" w:name="_GoBack"/>
      <w:bookmarkEnd w:id="0"/>
      <w:r w:rsidR="004E0B52" w:rsidRPr="0086330A">
        <w:rPr>
          <w:szCs w:val="22"/>
        </w:rPr>
        <w:t>approach</w:t>
      </w:r>
      <w:r w:rsidR="004E0B52">
        <w:rPr>
          <w:szCs w:val="22"/>
        </w:rPr>
        <w:t>. Unsafe termination of pregnancy remains o</w:t>
      </w:r>
      <w:r w:rsidR="004E0B52" w:rsidRPr="0086330A">
        <w:rPr>
          <w:szCs w:val="22"/>
        </w:rPr>
        <w:t>ne of the major causes of mate</w:t>
      </w:r>
      <w:r w:rsidR="004E0B52">
        <w:rPr>
          <w:szCs w:val="22"/>
        </w:rPr>
        <w:t>rnal morbidity and mortality and needs to be addressed to further reduce</w:t>
      </w:r>
      <w:r w:rsidR="004E0B52" w:rsidRPr="0086330A">
        <w:rPr>
          <w:szCs w:val="22"/>
        </w:rPr>
        <w:t xml:space="preserve"> </w:t>
      </w:r>
      <w:r w:rsidR="00107F83">
        <w:rPr>
          <w:szCs w:val="22"/>
        </w:rPr>
        <w:t xml:space="preserve">South Africa’s </w:t>
      </w:r>
      <w:r w:rsidR="004E0B52" w:rsidRPr="0086330A">
        <w:rPr>
          <w:szCs w:val="22"/>
        </w:rPr>
        <w:t>maternal mo</w:t>
      </w:r>
      <w:r w:rsidR="004E0B52">
        <w:rPr>
          <w:szCs w:val="22"/>
        </w:rPr>
        <w:t>rtality</w:t>
      </w:r>
      <w:r w:rsidR="00107F83">
        <w:rPr>
          <w:szCs w:val="22"/>
        </w:rPr>
        <w:t xml:space="preserve"> rate</w:t>
      </w:r>
      <w:r w:rsidR="003351E3">
        <w:rPr>
          <w:szCs w:val="22"/>
        </w:rPr>
        <w:t xml:space="preserve"> </w:t>
      </w:r>
      <w:r w:rsidR="004E0B52">
        <w:rPr>
          <w:szCs w:val="22"/>
        </w:rPr>
        <w:t xml:space="preserve">to </w:t>
      </w:r>
      <w:r w:rsidR="004668F4">
        <w:rPr>
          <w:szCs w:val="22"/>
        </w:rPr>
        <w:t xml:space="preserve">the Sustainable Development Goal of </w:t>
      </w:r>
      <w:r w:rsidR="00DC1A9C">
        <w:rPr>
          <w:szCs w:val="22"/>
        </w:rPr>
        <w:t>70</w:t>
      </w:r>
      <w:r w:rsidR="00107F83">
        <w:rPr>
          <w:szCs w:val="22"/>
        </w:rPr>
        <w:t xml:space="preserve"> maternal deaths</w:t>
      </w:r>
      <w:r w:rsidR="00DC1A9C">
        <w:rPr>
          <w:szCs w:val="22"/>
        </w:rPr>
        <w:t xml:space="preserve"> per </w:t>
      </w:r>
      <w:r w:rsidR="004E0B52">
        <w:rPr>
          <w:szCs w:val="22"/>
        </w:rPr>
        <w:t>100,000 live births</w:t>
      </w:r>
      <w:r w:rsidR="004668F4">
        <w:rPr>
          <w:szCs w:val="22"/>
        </w:rPr>
        <w:t xml:space="preserve"> by 2030</w:t>
      </w:r>
      <w:r w:rsidR="004E0B52">
        <w:rPr>
          <w:szCs w:val="22"/>
        </w:rPr>
        <w:t xml:space="preserve">. </w:t>
      </w:r>
    </w:p>
    <w:p w14:paraId="2ABBDB75" w14:textId="77777777" w:rsidR="004E0B52" w:rsidRDefault="004E0B52" w:rsidP="004E0B52">
      <w:pPr>
        <w:rPr>
          <w:szCs w:val="22"/>
        </w:rPr>
      </w:pPr>
    </w:p>
    <w:p w14:paraId="3A0A418A" w14:textId="0F184303" w:rsidR="004E0B52" w:rsidRDefault="004E0B52" w:rsidP="004E0B52">
      <w:pPr>
        <w:rPr>
          <w:szCs w:val="22"/>
        </w:rPr>
      </w:pPr>
      <w:r w:rsidRPr="0086330A">
        <w:rPr>
          <w:szCs w:val="22"/>
        </w:rPr>
        <w:t xml:space="preserve">Following </w:t>
      </w:r>
      <w:r>
        <w:rPr>
          <w:szCs w:val="22"/>
        </w:rPr>
        <w:t xml:space="preserve">the enactment of the </w:t>
      </w:r>
      <w:r w:rsidRPr="0049286C">
        <w:rPr>
          <w:szCs w:val="22"/>
        </w:rPr>
        <w:t xml:space="preserve">Choice on Termination of </w:t>
      </w:r>
      <w:r w:rsidRPr="0068028F">
        <w:rPr>
          <w:szCs w:val="22"/>
        </w:rPr>
        <w:t>Pregnancy (CTOP) Act 92 of 1996</w:t>
      </w:r>
      <w:r w:rsidR="00EE23B0">
        <w:rPr>
          <w:szCs w:val="22"/>
        </w:rPr>
        <w:t>,</w:t>
      </w:r>
      <w:r>
        <w:rPr>
          <w:szCs w:val="22"/>
        </w:rPr>
        <w:t xml:space="preserve"> </w:t>
      </w:r>
      <w:r w:rsidRPr="00B751A1">
        <w:rPr>
          <w:szCs w:val="22"/>
        </w:rPr>
        <w:t xml:space="preserve">expanded </w:t>
      </w:r>
      <w:r>
        <w:rPr>
          <w:szCs w:val="22"/>
        </w:rPr>
        <w:t xml:space="preserve">access to </w:t>
      </w:r>
      <w:r w:rsidRPr="0049286C">
        <w:rPr>
          <w:szCs w:val="22"/>
        </w:rPr>
        <w:t>legal ter</w:t>
      </w:r>
      <w:r>
        <w:rPr>
          <w:szCs w:val="22"/>
        </w:rPr>
        <w:t xml:space="preserve">mination of pregnancy </w:t>
      </w:r>
      <w:r w:rsidRPr="0086330A">
        <w:rPr>
          <w:szCs w:val="22"/>
        </w:rPr>
        <w:t>has</w:t>
      </w:r>
      <w:r>
        <w:rPr>
          <w:szCs w:val="22"/>
        </w:rPr>
        <w:t xml:space="preserve"> directly contributed to reducing South Africa’s</w:t>
      </w:r>
      <w:r w:rsidRPr="0086330A">
        <w:rPr>
          <w:szCs w:val="22"/>
        </w:rPr>
        <w:t xml:space="preserve"> </w:t>
      </w:r>
      <w:r>
        <w:rPr>
          <w:szCs w:val="22"/>
        </w:rPr>
        <w:t>maternal morbidity and mortality. However,</w:t>
      </w:r>
      <w:r w:rsidRPr="0086330A">
        <w:rPr>
          <w:szCs w:val="22"/>
        </w:rPr>
        <w:t xml:space="preserve"> barriers to high-quality legal services remain</w:t>
      </w:r>
      <w:r w:rsidR="00EE23B0">
        <w:rPr>
          <w:szCs w:val="22"/>
        </w:rPr>
        <w:t>; these include</w:t>
      </w:r>
      <w:r>
        <w:rPr>
          <w:szCs w:val="22"/>
        </w:rPr>
        <w:t xml:space="preserve"> </w:t>
      </w:r>
      <w:r w:rsidR="00E12346">
        <w:rPr>
          <w:szCs w:val="22"/>
        </w:rPr>
        <w:t>poor</w:t>
      </w:r>
      <w:r w:rsidRPr="0086330A">
        <w:rPr>
          <w:szCs w:val="22"/>
        </w:rPr>
        <w:t xml:space="preserve"> </w:t>
      </w:r>
      <w:r>
        <w:rPr>
          <w:szCs w:val="22"/>
        </w:rPr>
        <w:t xml:space="preserve">general </w:t>
      </w:r>
      <w:r w:rsidRPr="0086330A">
        <w:rPr>
          <w:szCs w:val="22"/>
        </w:rPr>
        <w:t xml:space="preserve">provider knowledge on </w:t>
      </w:r>
      <w:r>
        <w:rPr>
          <w:szCs w:val="22"/>
        </w:rPr>
        <w:t>termination of pregnancy,</w:t>
      </w:r>
      <w:r w:rsidR="00E12346">
        <w:rPr>
          <w:szCs w:val="22"/>
        </w:rPr>
        <w:t xml:space="preserve"> lack of</w:t>
      </w:r>
      <w:r>
        <w:rPr>
          <w:szCs w:val="22"/>
        </w:rPr>
        <w:t xml:space="preserve"> training</w:t>
      </w:r>
      <w:r w:rsidR="00E12346">
        <w:rPr>
          <w:szCs w:val="22"/>
        </w:rPr>
        <w:t xml:space="preserve"> and mentorship</w:t>
      </w:r>
      <w:r w:rsidR="00C84248">
        <w:rPr>
          <w:szCs w:val="22"/>
        </w:rPr>
        <w:t>,</w:t>
      </w:r>
      <w:r>
        <w:rPr>
          <w:szCs w:val="22"/>
        </w:rPr>
        <w:t xml:space="preserve"> and </w:t>
      </w:r>
      <w:r w:rsidR="00C84248">
        <w:rPr>
          <w:szCs w:val="22"/>
        </w:rPr>
        <w:t>the in</w:t>
      </w:r>
      <w:r>
        <w:rPr>
          <w:szCs w:val="22"/>
        </w:rPr>
        <w:t xml:space="preserve">adequate availability of relevant medicines and equipment. </w:t>
      </w:r>
    </w:p>
    <w:p w14:paraId="15ECC78C" w14:textId="77777777" w:rsidR="004E0B52" w:rsidRDefault="004E0B52" w:rsidP="004E0B52">
      <w:pPr>
        <w:rPr>
          <w:szCs w:val="22"/>
        </w:rPr>
      </w:pPr>
    </w:p>
    <w:p w14:paraId="36811610" w14:textId="70158600" w:rsidR="004E0B52" w:rsidRDefault="004E0B52" w:rsidP="004E0B52">
      <w:pPr>
        <w:rPr>
          <w:szCs w:val="22"/>
        </w:rPr>
      </w:pPr>
      <w:r>
        <w:rPr>
          <w:szCs w:val="22"/>
        </w:rPr>
        <w:t xml:space="preserve">In response to these challenges, </w:t>
      </w:r>
      <w:r w:rsidR="00EE23B0">
        <w:rPr>
          <w:szCs w:val="22"/>
        </w:rPr>
        <w:t xml:space="preserve">this </w:t>
      </w:r>
      <w:r w:rsidR="00EE23B0" w:rsidRPr="00EE23B0">
        <w:rPr>
          <w:i/>
          <w:szCs w:val="22"/>
        </w:rPr>
        <w:t>National Clinical Guideline</w:t>
      </w:r>
      <w:r w:rsidRPr="00EE23B0">
        <w:rPr>
          <w:i/>
          <w:szCs w:val="22"/>
        </w:rPr>
        <w:t xml:space="preserve"> for </w:t>
      </w:r>
      <w:r w:rsidR="00EE23B0" w:rsidRPr="00EE23B0">
        <w:rPr>
          <w:i/>
          <w:szCs w:val="22"/>
        </w:rPr>
        <w:t xml:space="preserve">Implementation of </w:t>
      </w:r>
      <w:r w:rsidR="004A790E">
        <w:rPr>
          <w:i/>
          <w:szCs w:val="22"/>
        </w:rPr>
        <w:t xml:space="preserve">the </w:t>
      </w:r>
      <w:r w:rsidR="00EE23B0" w:rsidRPr="00EE23B0">
        <w:rPr>
          <w:i/>
          <w:szCs w:val="22"/>
        </w:rPr>
        <w:t>Choice on Termination of Pregnancy Act</w:t>
      </w:r>
      <w:r w:rsidR="00EE23B0">
        <w:rPr>
          <w:i/>
          <w:szCs w:val="22"/>
        </w:rPr>
        <w:t xml:space="preserve"> </w:t>
      </w:r>
      <w:r w:rsidR="00C06B7B">
        <w:rPr>
          <w:szCs w:val="22"/>
        </w:rPr>
        <w:t xml:space="preserve">is being introduced </w:t>
      </w:r>
      <w:r w:rsidR="00EE23B0">
        <w:rPr>
          <w:szCs w:val="22"/>
        </w:rPr>
        <w:t>with</w:t>
      </w:r>
      <w:r w:rsidR="00EE23B0" w:rsidRPr="00EE23B0">
        <w:rPr>
          <w:i/>
          <w:szCs w:val="22"/>
        </w:rPr>
        <w:t xml:space="preserve"> </w:t>
      </w:r>
      <w:r w:rsidR="00EE23B0">
        <w:rPr>
          <w:szCs w:val="22"/>
        </w:rPr>
        <w:t>the purpose</w:t>
      </w:r>
      <w:r>
        <w:rPr>
          <w:szCs w:val="22"/>
        </w:rPr>
        <w:t xml:space="preserve"> of </w:t>
      </w:r>
      <w:r w:rsidR="004A790E">
        <w:rPr>
          <w:szCs w:val="22"/>
        </w:rPr>
        <w:t xml:space="preserve">standardizing and expanding service delivery </w:t>
      </w:r>
      <w:r w:rsidR="00EE23B0">
        <w:rPr>
          <w:szCs w:val="22"/>
        </w:rPr>
        <w:t>and reaffirm</w:t>
      </w:r>
      <w:r w:rsidR="004A790E">
        <w:rPr>
          <w:szCs w:val="22"/>
        </w:rPr>
        <w:t>ing</w:t>
      </w:r>
      <w:r w:rsidR="00EE23B0">
        <w:rPr>
          <w:szCs w:val="22"/>
        </w:rPr>
        <w:t xml:space="preserve"> all citizen</w:t>
      </w:r>
      <w:r>
        <w:rPr>
          <w:szCs w:val="22"/>
        </w:rPr>
        <w:t>s</w:t>
      </w:r>
      <w:r w:rsidR="00EE23B0">
        <w:rPr>
          <w:szCs w:val="22"/>
        </w:rPr>
        <w:t>’</w:t>
      </w:r>
      <w:r w:rsidRPr="00E96BA4">
        <w:rPr>
          <w:szCs w:val="22"/>
        </w:rPr>
        <w:t xml:space="preserve"> right to comprehensive reproductive health care</w:t>
      </w:r>
      <w:r>
        <w:rPr>
          <w:szCs w:val="22"/>
        </w:rPr>
        <w:t>,</w:t>
      </w:r>
      <w:r w:rsidRPr="00E96BA4">
        <w:rPr>
          <w:szCs w:val="22"/>
        </w:rPr>
        <w:t xml:space="preserve"> as per the Constitution</w:t>
      </w:r>
      <w:r>
        <w:rPr>
          <w:szCs w:val="22"/>
        </w:rPr>
        <w:t xml:space="preserve">. </w:t>
      </w:r>
      <w:r w:rsidRPr="0020019C">
        <w:rPr>
          <w:szCs w:val="22"/>
        </w:rPr>
        <w:t>South Africa’s laws and policies support a</w:t>
      </w:r>
      <w:r>
        <w:rPr>
          <w:szCs w:val="22"/>
        </w:rPr>
        <w:t xml:space="preserve"> rights-based framework for its </w:t>
      </w:r>
      <w:r w:rsidR="00C84248">
        <w:rPr>
          <w:szCs w:val="22"/>
        </w:rPr>
        <w:t>s</w:t>
      </w:r>
      <w:r>
        <w:rPr>
          <w:szCs w:val="22"/>
        </w:rPr>
        <w:t xml:space="preserve">exual and </w:t>
      </w:r>
      <w:r w:rsidR="00C84248">
        <w:rPr>
          <w:szCs w:val="22"/>
        </w:rPr>
        <w:t>r</w:t>
      </w:r>
      <w:r>
        <w:rPr>
          <w:szCs w:val="22"/>
        </w:rPr>
        <w:t xml:space="preserve">eproductive </w:t>
      </w:r>
      <w:r w:rsidR="00C84248">
        <w:rPr>
          <w:szCs w:val="22"/>
        </w:rPr>
        <w:t>h</w:t>
      </w:r>
      <w:r>
        <w:rPr>
          <w:szCs w:val="22"/>
        </w:rPr>
        <w:t>ealth program</w:t>
      </w:r>
      <w:r w:rsidR="00C84248">
        <w:rPr>
          <w:szCs w:val="22"/>
        </w:rPr>
        <w:t>me</w:t>
      </w:r>
      <w:r w:rsidRPr="0020019C">
        <w:rPr>
          <w:szCs w:val="22"/>
        </w:rPr>
        <w:t xml:space="preserve"> that is aligned with the </w:t>
      </w:r>
      <w:r w:rsidR="00C84248">
        <w:rPr>
          <w:szCs w:val="22"/>
        </w:rPr>
        <w:t xml:space="preserve">United Nations </w:t>
      </w:r>
      <w:r w:rsidRPr="0020019C">
        <w:rPr>
          <w:szCs w:val="22"/>
        </w:rPr>
        <w:t>Sustainable Development Goals and the global Family Planning 2020 framework</w:t>
      </w:r>
      <w:r>
        <w:rPr>
          <w:szCs w:val="22"/>
        </w:rPr>
        <w:t>.</w:t>
      </w:r>
      <w:r w:rsidRPr="0020019C">
        <w:rPr>
          <w:szCs w:val="22"/>
        </w:rPr>
        <w:t xml:space="preserve"> </w:t>
      </w:r>
      <w:r w:rsidR="004A790E">
        <w:rPr>
          <w:szCs w:val="22"/>
        </w:rPr>
        <w:t xml:space="preserve">Additionally, </w:t>
      </w:r>
      <w:r w:rsidRPr="0086330A">
        <w:rPr>
          <w:szCs w:val="22"/>
        </w:rPr>
        <w:t xml:space="preserve">the </w:t>
      </w:r>
      <w:r w:rsidR="004A790E">
        <w:rPr>
          <w:szCs w:val="22"/>
        </w:rPr>
        <w:t xml:space="preserve">South African </w:t>
      </w:r>
      <w:r w:rsidRPr="0086330A">
        <w:rPr>
          <w:szCs w:val="22"/>
        </w:rPr>
        <w:t xml:space="preserve">government has </w:t>
      </w:r>
      <w:r>
        <w:rPr>
          <w:szCs w:val="22"/>
        </w:rPr>
        <w:t xml:space="preserve">ratified regional </w:t>
      </w:r>
      <w:r w:rsidRPr="0086330A">
        <w:rPr>
          <w:szCs w:val="22"/>
        </w:rPr>
        <w:t xml:space="preserve">and international agreements regarding </w:t>
      </w:r>
      <w:r>
        <w:rPr>
          <w:szCs w:val="22"/>
        </w:rPr>
        <w:t>reproductive</w:t>
      </w:r>
      <w:r w:rsidRPr="0086330A">
        <w:rPr>
          <w:szCs w:val="22"/>
        </w:rPr>
        <w:t xml:space="preserve"> health and rights</w:t>
      </w:r>
      <w:r>
        <w:rPr>
          <w:szCs w:val="22"/>
        </w:rPr>
        <w:t>,</w:t>
      </w:r>
      <w:r w:rsidRPr="0086330A">
        <w:rPr>
          <w:szCs w:val="22"/>
        </w:rPr>
        <w:t xml:space="preserve"> including </w:t>
      </w:r>
      <w:r w:rsidR="00C13B4F">
        <w:rPr>
          <w:szCs w:val="22"/>
        </w:rPr>
        <w:t xml:space="preserve">at </w:t>
      </w:r>
      <w:r w:rsidRPr="0086330A">
        <w:rPr>
          <w:szCs w:val="22"/>
        </w:rPr>
        <w:t>the International Conference on Po</w:t>
      </w:r>
      <w:r w:rsidR="004A790E">
        <w:rPr>
          <w:szCs w:val="22"/>
        </w:rPr>
        <w:t>pulation and Development (</w:t>
      </w:r>
      <w:r w:rsidRPr="0086330A">
        <w:rPr>
          <w:szCs w:val="22"/>
        </w:rPr>
        <w:t>1994</w:t>
      </w:r>
      <w:r w:rsidR="004A790E">
        <w:rPr>
          <w:szCs w:val="22"/>
        </w:rPr>
        <w:t>)</w:t>
      </w:r>
      <w:r w:rsidRPr="0086330A">
        <w:rPr>
          <w:szCs w:val="22"/>
        </w:rPr>
        <w:t xml:space="preserve"> and t</w:t>
      </w:r>
      <w:r>
        <w:rPr>
          <w:szCs w:val="22"/>
        </w:rPr>
        <w:t xml:space="preserve">he Maputo Plan of Action (2006). </w:t>
      </w:r>
    </w:p>
    <w:p w14:paraId="5513A024" w14:textId="77777777" w:rsidR="004E0B52" w:rsidRPr="003D3177" w:rsidRDefault="004E0B52" w:rsidP="004E0B52">
      <w:pPr>
        <w:rPr>
          <w:szCs w:val="22"/>
        </w:rPr>
      </w:pPr>
    </w:p>
    <w:p w14:paraId="11382FDE" w14:textId="2F97CFB1" w:rsidR="004E0B52" w:rsidRDefault="004E0B52" w:rsidP="004E0B52">
      <w:pPr>
        <w:rPr>
          <w:color w:val="000000"/>
          <w:szCs w:val="22"/>
        </w:rPr>
      </w:pPr>
      <w:r>
        <w:rPr>
          <w:color w:val="000000"/>
          <w:szCs w:val="22"/>
        </w:rPr>
        <w:t>This guideline is</w:t>
      </w:r>
      <w:r w:rsidRPr="0086330A">
        <w:rPr>
          <w:color w:val="000000"/>
          <w:szCs w:val="22"/>
        </w:rPr>
        <w:t xml:space="preserve"> primarily intended for regis</w:t>
      </w:r>
      <w:r>
        <w:rPr>
          <w:color w:val="000000"/>
          <w:szCs w:val="22"/>
        </w:rPr>
        <w:t xml:space="preserve">tered medical practitioners, </w:t>
      </w:r>
      <w:r w:rsidRPr="0086330A">
        <w:rPr>
          <w:color w:val="000000"/>
          <w:szCs w:val="22"/>
        </w:rPr>
        <w:t>nurses</w:t>
      </w:r>
      <w:r w:rsidR="00C84248">
        <w:rPr>
          <w:color w:val="000000"/>
          <w:szCs w:val="22"/>
        </w:rPr>
        <w:t>,</w:t>
      </w:r>
      <w:r>
        <w:rPr>
          <w:color w:val="000000"/>
          <w:szCs w:val="22"/>
        </w:rPr>
        <w:t xml:space="preserve"> and midwives</w:t>
      </w:r>
      <w:r w:rsidRPr="0086330A">
        <w:rPr>
          <w:color w:val="000000"/>
          <w:szCs w:val="22"/>
        </w:rPr>
        <w:t xml:space="preserve"> who continue to work tirelessly to advance the sexual and reproductive health of South Africans and are positioned to help improve access, quality</w:t>
      </w:r>
      <w:r w:rsidR="00C84248">
        <w:rPr>
          <w:color w:val="000000"/>
          <w:szCs w:val="22"/>
        </w:rPr>
        <w:t>,</w:t>
      </w:r>
      <w:r w:rsidRPr="0086330A">
        <w:rPr>
          <w:color w:val="000000"/>
          <w:szCs w:val="22"/>
        </w:rPr>
        <w:t xml:space="preserve"> and equity of </w:t>
      </w:r>
      <w:r>
        <w:rPr>
          <w:color w:val="000000"/>
          <w:szCs w:val="22"/>
        </w:rPr>
        <w:t>termination of pregnancy</w:t>
      </w:r>
      <w:r w:rsidR="00C06B7B">
        <w:rPr>
          <w:color w:val="000000"/>
          <w:szCs w:val="22"/>
        </w:rPr>
        <w:t xml:space="preserve"> services</w:t>
      </w:r>
      <w:r w:rsidRPr="0086330A">
        <w:rPr>
          <w:color w:val="000000"/>
          <w:szCs w:val="22"/>
        </w:rPr>
        <w:t>. They are also of interest to public health researchers, professional associations</w:t>
      </w:r>
      <w:r w:rsidR="00C84248">
        <w:rPr>
          <w:color w:val="000000"/>
          <w:szCs w:val="22"/>
        </w:rPr>
        <w:t>,</w:t>
      </w:r>
      <w:r w:rsidRPr="0086330A">
        <w:rPr>
          <w:color w:val="000000"/>
          <w:szCs w:val="22"/>
        </w:rPr>
        <w:t xml:space="preserve"> and civil society organizations</w:t>
      </w:r>
      <w:r>
        <w:rPr>
          <w:color w:val="000000"/>
          <w:szCs w:val="22"/>
        </w:rPr>
        <w:t xml:space="preserve">. </w:t>
      </w:r>
    </w:p>
    <w:p w14:paraId="4C675235" w14:textId="48A9F816" w:rsidR="00443A17" w:rsidRPr="0086330A" w:rsidRDefault="00443A17" w:rsidP="004E0B52">
      <w:pPr>
        <w:rPr>
          <w:color w:val="000000"/>
          <w:szCs w:val="22"/>
        </w:rPr>
      </w:pPr>
    </w:p>
    <w:p w14:paraId="607E241C" w14:textId="2B83173F" w:rsidR="004E0B52" w:rsidRDefault="004E0B52" w:rsidP="004E0B52">
      <w:pPr>
        <w:rPr>
          <w:color w:val="000000"/>
          <w:szCs w:val="22"/>
        </w:rPr>
      </w:pPr>
      <w:r w:rsidRPr="0086330A">
        <w:rPr>
          <w:color w:val="000000"/>
          <w:szCs w:val="22"/>
        </w:rPr>
        <w:t xml:space="preserve">It is our sincere hope that through this expression of the government’s commitment to the health and well-being of women </w:t>
      </w:r>
      <w:r>
        <w:rPr>
          <w:color w:val="000000"/>
          <w:szCs w:val="22"/>
        </w:rPr>
        <w:t xml:space="preserve">and girls </w:t>
      </w:r>
      <w:r w:rsidRPr="0086330A">
        <w:rPr>
          <w:color w:val="000000"/>
          <w:szCs w:val="22"/>
        </w:rPr>
        <w:t>of South Africa</w:t>
      </w:r>
      <w:r>
        <w:rPr>
          <w:color w:val="000000"/>
          <w:szCs w:val="22"/>
        </w:rPr>
        <w:t xml:space="preserve"> that </w:t>
      </w:r>
      <w:r w:rsidRPr="0086330A">
        <w:rPr>
          <w:color w:val="000000"/>
          <w:szCs w:val="22"/>
        </w:rPr>
        <w:t>we will be able to accelerate the already downward trend of maternal mortality, advance women’s agency</w:t>
      </w:r>
      <w:r w:rsidR="00C84248">
        <w:rPr>
          <w:color w:val="000000"/>
          <w:szCs w:val="22"/>
        </w:rPr>
        <w:t>,</w:t>
      </w:r>
      <w:r w:rsidRPr="0086330A">
        <w:rPr>
          <w:color w:val="000000"/>
          <w:szCs w:val="22"/>
        </w:rPr>
        <w:t xml:space="preserve"> and ultimately contribute to the development of the South African citizen with regards to their reproductive autonomy. </w:t>
      </w:r>
    </w:p>
    <w:p w14:paraId="1E86EAA9" w14:textId="250AE3B6" w:rsidR="004A790E" w:rsidRDefault="004A790E" w:rsidP="00431467">
      <w:pPr>
        <w:rPr>
          <w:b/>
        </w:rPr>
      </w:pPr>
    </w:p>
    <w:p w14:paraId="02F04C46" w14:textId="77777777" w:rsidR="0016257D" w:rsidRPr="00057F08" w:rsidRDefault="0016257D" w:rsidP="0016257D">
      <w:r w:rsidRPr="00057F08">
        <w:t>Ms MP Matsoso</w:t>
      </w:r>
    </w:p>
    <w:p w14:paraId="57AAD239" w14:textId="77777777" w:rsidR="0016257D" w:rsidRPr="00057F08" w:rsidRDefault="0016257D" w:rsidP="0016257D">
      <w:r w:rsidRPr="00057F08">
        <w:t>Director-General: Health</w:t>
      </w:r>
    </w:p>
    <w:p w14:paraId="4F4FC8C6" w14:textId="77777777" w:rsidR="0016257D" w:rsidRPr="00057F08" w:rsidRDefault="0016257D" w:rsidP="0016257D">
      <w:pPr>
        <w:rPr>
          <w:rFonts w:cstheme="minorHAnsi"/>
        </w:rPr>
      </w:pPr>
      <w:r w:rsidRPr="00057F08">
        <w:t>October 2019</w:t>
      </w:r>
    </w:p>
    <w:p w14:paraId="5A262185" w14:textId="03E0D08C" w:rsidR="00A52F33" w:rsidRPr="00C16CE6" w:rsidRDefault="00A52F33" w:rsidP="004E0B52"/>
    <w:p w14:paraId="62AD4D8B" w14:textId="2D84C0AA" w:rsidR="00A52F33" w:rsidRPr="00C16CE6" w:rsidRDefault="00A52F33" w:rsidP="001244A3"/>
    <w:p w14:paraId="2B2394D1" w14:textId="77777777" w:rsidR="00A52F33" w:rsidRPr="00C16CE6" w:rsidRDefault="00A52F33" w:rsidP="001244A3">
      <w:pPr>
        <w:sectPr w:rsidR="00A52F33" w:rsidRPr="00C16CE6" w:rsidSect="006970B4">
          <w:footerReference w:type="default" r:id="rId15"/>
          <w:pgSz w:w="12240" w:h="15840"/>
          <w:pgMar w:top="1440" w:right="1440" w:bottom="1440" w:left="1440" w:header="720" w:footer="720" w:gutter="0"/>
          <w:pgNumType w:fmt="lowerRoman" w:start="1"/>
          <w:cols w:space="720"/>
          <w:docGrid w:linePitch="360"/>
        </w:sectPr>
      </w:pPr>
    </w:p>
    <w:p w14:paraId="694307D2" w14:textId="594D73EA" w:rsidR="00F53FDC" w:rsidRPr="00AD49AD" w:rsidRDefault="00F53FDC" w:rsidP="00AD49AD">
      <w:pPr>
        <w:rPr>
          <w:b/>
          <w:color w:val="009051"/>
          <w:sz w:val="28"/>
          <w:szCs w:val="28"/>
        </w:rPr>
      </w:pPr>
      <w:bookmarkStart w:id="1" w:name="_Toc528572366"/>
      <w:bookmarkStart w:id="2" w:name="_Toc530407817"/>
      <w:bookmarkStart w:id="3" w:name="_Toc512340300"/>
      <w:bookmarkStart w:id="4" w:name="_Toc512340443"/>
      <w:bookmarkStart w:id="5" w:name="_Toc512340730"/>
      <w:r w:rsidRPr="00AD49AD">
        <w:rPr>
          <w:b/>
          <w:color w:val="009051"/>
          <w:sz w:val="28"/>
          <w:szCs w:val="28"/>
        </w:rPr>
        <w:lastRenderedPageBreak/>
        <w:t>Table of Contents</w:t>
      </w:r>
      <w:bookmarkEnd w:id="1"/>
      <w:bookmarkEnd w:id="2"/>
    </w:p>
    <w:p w14:paraId="3B548AB3" w14:textId="5B925B39" w:rsidR="006D5AA5" w:rsidRPr="00C16CE6" w:rsidRDefault="006D5AA5" w:rsidP="00771FD1"/>
    <w:p w14:paraId="6B1B9CFB" w14:textId="3FC44428" w:rsidR="004F64F7" w:rsidRDefault="00053B71">
      <w:pPr>
        <w:pStyle w:val="TOC1"/>
        <w:tabs>
          <w:tab w:val="right" w:leader="dot" w:pos="9350"/>
        </w:tabs>
        <w:rPr>
          <w:rFonts w:eastAsiaTheme="minorEastAsia"/>
          <w:b w:val="0"/>
          <w:noProof/>
          <w:sz w:val="24"/>
          <w:lang w:val="en-CA" w:eastAsia="en-CA"/>
        </w:rPr>
      </w:pPr>
      <w:r>
        <w:fldChar w:fldCharType="begin"/>
      </w:r>
      <w:r>
        <w:instrText xml:space="preserve"> TOC \o "1-3" \h \z \u </w:instrText>
      </w:r>
      <w:r>
        <w:fldChar w:fldCharType="separate"/>
      </w:r>
      <w:hyperlink w:anchor="_Toc8387186" w:history="1">
        <w:r w:rsidR="004F64F7" w:rsidRPr="00EE6593">
          <w:rPr>
            <w:rStyle w:val="Hyperlink"/>
            <w:noProof/>
          </w:rPr>
          <w:t>List of Figures and Tables</w:t>
        </w:r>
        <w:r w:rsidR="004F64F7">
          <w:rPr>
            <w:noProof/>
            <w:webHidden/>
          </w:rPr>
          <w:tab/>
        </w:r>
        <w:r w:rsidR="004F64F7">
          <w:rPr>
            <w:noProof/>
            <w:webHidden/>
          </w:rPr>
          <w:fldChar w:fldCharType="begin"/>
        </w:r>
        <w:r w:rsidR="004F64F7">
          <w:rPr>
            <w:noProof/>
            <w:webHidden/>
          </w:rPr>
          <w:instrText xml:space="preserve"> PAGEREF _Toc8387186 \h </w:instrText>
        </w:r>
        <w:r w:rsidR="004F64F7">
          <w:rPr>
            <w:noProof/>
            <w:webHidden/>
          </w:rPr>
        </w:r>
        <w:r w:rsidR="004F64F7">
          <w:rPr>
            <w:noProof/>
            <w:webHidden/>
          </w:rPr>
          <w:fldChar w:fldCharType="separate"/>
        </w:r>
        <w:r w:rsidR="004F64F7">
          <w:rPr>
            <w:noProof/>
            <w:webHidden/>
          </w:rPr>
          <w:t>iv</w:t>
        </w:r>
        <w:r w:rsidR="004F64F7">
          <w:rPr>
            <w:noProof/>
            <w:webHidden/>
          </w:rPr>
          <w:fldChar w:fldCharType="end"/>
        </w:r>
      </w:hyperlink>
    </w:p>
    <w:p w14:paraId="1D6245CB" w14:textId="44DA15D0" w:rsidR="004F64F7" w:rsidRDefault="003351E3">
      <w:pPr>
        <w:pStyle w:val="TOC1"/>
        <w:tabs>
          <w:tab w:val="right" w:leader="dot" w:pos="9350"/>
        </w:tabs>
        <w:rPr>
          <w:rFonts w:eastAsiaTheme="minorEastAsia"/>
          <w:b w:val="0"/>
          <w:noProof/>
          <w:sz w:val="24"/>
          <w:lang w:val="en-CA" w:eastAsia="en-CA"/>
        </w:rPr>
      </w:pPr>
      <w:hyperlink w:anchor="_Toc8387187" w:history="1">
        <w:r w:rsidR="004F64F7" w:rsidRPr="00EE6593">
          <w:rPr>
            <w:rStyle w:val="Hyperlink"/>
            <w:noProof/>
          </w:rPr>
          <w:t>Acronyms</w:t>
        </w:r>
        <w:r w:rsidR="004F64F7">
          <w:rPr>
            <w:noProof/>
            <w:webHidden/>
          </w:rPr>
          <w:tab/>
        </w:r>
        <w:r w:rsidR="004F64F7">
          <w:rPr>
            <w:noProof/>
            <w:webHidden/>
          </w:rPr>
          <w:fldChar w:fldCharType="begin"/>
        </w:r>
        <w:r w:rsidR="004F64F7">
          <w:rPr>
            <w:noProof/>
            <w:webHidden/>
          </w:rPr>
          <w:instrText xml:space="preserve"> PAGEREF _Toc8387187 \h </w:instrText>
        </w:r>
        <w:r w:rsidR="004F64F7">
          <w:rPr>
            <w:noProof/>
            <w:webHidden/>
          </w:rPr>
        </w:r>
        <w:r w:rsidR="004F64F7">
          <w:rPr>
            <w:noProof/>
            <w:webHidden/>
          </w:rPr>
          <w:fldChar w:fldCharType="separate"/>
        </w:r>
        <w:r w:rsidR="004F64F7">
          <w:rPr>
            <w:noProof/>
            <w:webHidden/>
          </w:rPr>
          <w:t>v</w:t>
        </w:r>
        <w:r w:rsidR="004F64F7">
          <w:rPr>
            <w:noProof/>
            <w:webHidden/>
          </w:rPr>
          <w:fldChar w:fldCharType="end"/>
        </w:r>
      </w:hyperlink>
    </w:p>
    <w:p w14:paraId="5E1C32EB" w14:textId="4AF51BE8" w:rsidR="004F64F7" w:rsidRDefault="003351E3">
      <w:pPr>
        <w:pStyle w:val="TOC1"/>
        <w:tabs>
          <w:tab w:val="right" w:leader="dot" w:pos="9350"/>
        </w:tabs>
        <w:rPr>
          <w:rFonts w:eastAsiaTheme="minorEastAsia"/>
          <w:b w:val="0"/>
          <w:noProof/>
          <w:sz w:val="24"/>
          <w:lang w:val="en-CA" w:eastAsia="en-CA"/>
        </w:rPr>
      </w:pPr>
      <w:hyperlink w:anchor="_Toc8387188" w:history="1">
        <w:r w:rsidR="004F64F7" w:rsidRPr="00EE6593">
          <w:rPr>
            <w:rStyle w:val="Hyperlink"/>
            <w:noProof/>
          </w:rPr>
          <w:t>Definitions of Terms</w:t>
        </w:r>
        <w:r w:rsidR="004F64F7">
          <w:rPr>
            <w:noProof/>
            <w:webHidden/>
          </w:rPr>
          <w:tab/>
        </w:r>
        <w:r w:rsidR="004F64F7">
          <w:rPr>
            <w:noProof/>
            <w:webHidden/>
          </w:rPr>
          <w:fldChar w:fldCharType="begin"/>
        </w:r>
        <w:r w:rsidR="004F64F7">
          <w:rPr>
            <w:noProof/>
            <w:webHidden/>
          </w:rPr>
          <w:instrText xml:space="preserve"> PAGEREF _Toc8387188 \h </w:instrText>
        </w:r>
        <w:r w:rsidR="004F64F7">
          <w:rPr>
            <w:noProof/>
            <w:webHidden/>
          </w:rPr>
        </w:r>
        <w:r w:rsidR="004F64F7">
          <w:rPr>
            <w:noProof/>
            <w:webHidden/>
          </w:rPr>
          <w:fldChar w:fldCharType="separate"/>
        </w:r>
        <w:r w:rsidR="004F64F7">
          <w:rPr>
            <w:noProof/>
            <w:webHidden/>
          </w:rPr>
          <w:t>vi</w:t>
        </w:r>
        <w:r w:rsidR="004F64F7">
          <w:rPr>
            <w:noProof/>
            <w:webHidden/>
          </w:rPr>
          <w:fldChar w:fldCharType="end"/>
        </w:r>
      </w:hyperlink>
    </w:p>
    <w:p w14:paraId="7ADA47B8" w14:textId="19C45DE4" w:rsidR="004F64F7" w:rsidRDefault="003351E3">
      <w:pPr>
        <w:pStyle w:val="TOC1"/>
        <w:tabs>
          <w:tab w:val="right" w:leader="dot" w:pos="9350"/>
        </w:tabs>
        <w:rPr>
          <w:rFonts w:eastAsiaTheme="minorEastAsia"/>
          <w:b w:val="0"/>
          <w:noProof/>
          <w:sz w:val="24"/>
          <w:lang w:val="en-CA" w:eastAsia="en-CA"/>
        </w:rPr>
      </w:pPr>
      <w:hyperlink w:anchor="_Toc8387189" w:history="1">
        <w:r w:rsidR="004F64F7" w:rsidRPr="00EE6593">
          <w:rPr>
            <w:rStyle w:val="Hyperlink"/>
            <w:noProof/>
          </w:rPr>
          <w:t>Preamble</w:t>
        </w:r>
        <w:r w:rsidR="004F64F7">
          <w:rPr>
            <w:noProof/>
            <w:webHidden/>
          </w:rPr>
          <w:tab/>
        </w:r>
        <w:r w:rsidR="004F64F7">
          <w:rPr>
            <w:noProof/>
            <w:webHidden/>
          </w:rPr>
          <w:fldChar w:fldCharType="begin"/>
        </w:r>
        <w:r w:rsidR="004F64F7">
          <w:rPr>
            <w:noProof/>
            <w:webHidden/>
          </w:rPr>
          <w:instrText xml:space="preserve"> PAGEREF _Toc8387189 \h </w:instrText>
        </w:r>
        <w:r w:rsidR="004F64F7">
          <w:rPr>
            <w:noProof/>
            <w:webHidden/>
          </w:rPr>
        </w:r>
        <w:r w:rsidR="004F64F7">
          <w:rPr>
            <w:noProof/>
            <w:webHidden/>
          </w:rPr>
          <w:fldChar w:fldCharType="separate"/>
        </w:r>
        <w:r w:rsidR="004F64F7">
          <w:rPr>
            <w:noProof/>
            <w:webHidden/>
          </w:rPr>
          <w:t>1</w:t>
        </w:r>
        <w:r w:rsidR="004F64F7">
          <w:rPr>
            <w:noProof/>
            <w:webHidden/>
          </w:rPr>
          <w:fldChar w:fldCharType="end"/>
        </w:r>
      </w:hyperlink>
    </w:p>
    <w:p w14:paraId="22FE62B2" w14:textId="48F5C691" w:rsidR="004F64F7" w:rsidRDefault="003351E3">
      <w:pPr>
        <w:pStyle w:val="TOC1"/>
        <w:tabs>
          <w:tab w:val="right" w:leader="dot" w:pos="9350"/>
        </w:tabs>
        <w:rPr>
          <w:rFonts w:eastAsiaTheme="minorEastAsia"/>
          <w:b w:val="0"/>
          <w:noProof/>
          <w:sz w:val="24"/>
          <w:lang w:val="en-CA" w:eastAsia="en-CA"/>
        </w:rPr>
      </w:pPr>
      <w:hyperlink w:anchor="_Toc8387190" w:history="1">
        <w:r w:rsidR="004F64F7" w:rsidRPr="00EE6593">
          <w:rPr>
            <w:rStyle w:val="Hyperlink"/>
            <w:noProof/>
          </w:rPr>
          <w:t>Section 1. Introduction</w:t>
        </w:r>
        <w:r w:rsidR="004F64F7">
          <w:rPr>
            <w:noProof/>
            <w:webHidden/>
          </w:rPr>
          <w:tab/>
        </w:r>
        <w:r w:rsidR="004F64F7">
          <w:rPr>
            <w:noProof/>
            <w:webHidden/>
          </w:rPr>
          <w:fldChar w:fldCharType="begin"/>
        </w:r>
        <w:r w:rsidR="004F64F7">
          <w:rPr>
            <w:noProof/>
            <w:webHidden/>
          </w:rPr>
          <w:instrText xml:space="preserve"> PAGEREF _Toc8387190 \h </w:instrText>
        </w:r>
        <w:r w:rsidR="004F64F7">
          <w:rPr>
            <w:noProof/>
            <w:webHidden/>
          </w:rPr>
        </w:r>
        <w:r w:rsidR="004F64F7">
          <w:rPr>
            <w:noProof/>
            <w:webHidden/>
          </w:rPr>
          <w:fldChar w:fldCharType="separate"/>
        </w:r>
        <w:r w:rsidR="004F64F7">
          <w:rPr>
            <w:noProof/>
            <w:webHidden/>
          </w:rPr>
          <w:t>2</w:t>
        </w:r>
        <w:r w:rsidR="004F64F7">
          <w:rPr>
            <w:noProof/>
            <w:webHidden/>
          </w:rPr>
          <w:fldChar w:fldCharType="end"/>
        </w:r>
      </w:hyperlink>
    </w:p>
    <w:p w14:paraId="141CFC17" w14:textId="6EA19FF6" w:rsidR="004F64F7" w:rsidRDefault="003351E3">
      <w:pPr>
        <w:pStyle w:val="TOC2"/>
        <w:rPr>
          <w:rFonts w:eastAsiaTheme="minorEastAsia"/>
          <w:noProof/>
          <w:sz w:val="24"/>
          <w:lang w:val="en-CA" w:eastAsia="en-CA"/>
        </w:rPr>
      </w:pPr>
      <w:hyperlink w:anchor="_Toc8387191" w:history="1">
        <w:r w:rsidR="004F64F7" w:rsidRPr="00EE6593">
          <w:rPr>
            <w:rStyle w:val="Hyperlink"/>
            <w:noProof/>
            <w:lang w:val="en-ZA"/>
          </w:rPr>
          <w:t>1.1 Background</w:t>
        </w:r>
        <w:r w:rsidR="004F64F7">
          <w:rPr>
            <w:noProof/>
            <w:webHidden/>
          </w:rPr>
          <w:tab/>
        </w:r>
        <w:r w:rsidR="004F64F7">
          <w:rPr>
            <w:noProof/>
            <w:webHidden/>
          </w:rPr>
          <w:fldChar w:fldCharType="begin"/>
        </w:r>
        <w:r w:rsidR="004F64F7">
          <w:rPr>
            <w:noProof/>
            <w:webHidden/>
          </w:rPr>
          <w:instrText xml:space="preserve"> PAGEREF _Toc8387191 \h </w:instrText>
        </w:r>
        <w:r w:rsidR="004F64F7">
          <w:rPr>
            <w:noProof/>
            <w:webHidden/>
          </w:rPr>
        </w:r>
        <w:r w:rsidR="004F64F7">
          <w:rPr>
            <w:noProof/>
            <w:webHidden/>
          </w:rPr>
          <w:fldChar w:fldCharType="separate"/>
        </w:r>
        <w:r w:rsidR="004F64F7">
          <w:rPr>
            <w:noProof/>
            <w:webHidden/>
          </w:rPr>
          <w:t>2</w:t>
        </w:r>
        <w:r w:rsidR="004F64F7">
          <w:rPr>
            <w:noProof/>
            <w:webHidden/>
          </w:rPr>
          <w:fldChar w:fldCharType="end"/>
        </w:r>
      </w:hyperlink>
    </w:p>
    <w:p w14:paraId="36FFC563" w14:textId="7D85A832" w:rsidR="004F64F7" w:rsidRDefault="003351E3">
      <w:pPr>
        <w:pStyle w:val="TOC2"/>
        <w:rPr>
          <w:rFonts w:eastAsiaTheme="minorEastAsia"/>
          <w:noProof/>
          <w:sz w:val="24"/>
          <w:lang w:val="en-CA" w:eastAsia="en-CA"/>
        </w:rPr>
      </w:pPr>
      <w:hyperlink w:anchor="_Toc8387192" w:history="1">
        <w:r w:rsidR="004F64F7" w:rsidRPr="00EE6593">
          <w:rPr>
            <w:rStyle w:val="Hyperlink"/>
            <w:noProof/>
            <w:lang w:val="en-ZA"/>
          </w:rPr>
          <w:t>1.2 Objectives of the Guidelines</w:t>
        </w:r>
        <w:r w:rsidR="004F64F7">
          <w:rPr>
            <w:noProof/>
            <w:webHidden/>
          </w:rPr>
          <w:tab/>
        </w:r>
        <w:r w:rsidR="004F64F7">
          <w:rPr>
            <w:noProof/>
            <w:webHidden/>
          </w:rPr>
          <w:fldChar w:fldCharType="begin"/>
        </w:r>
        <w:r w:rsidR="004F64F7">
          <w:rPr>
            <w:noProof/>
            <w:webHidden/>
          </w:rPr>
          <w:instrText xml:space="preserve"> PAGEREF _Toc8387192 \h </w:instrText>
        </w:r>
        <w:r w:rsidR="004F64F7">
          <w:rPr>
            <w:noProof/>
            <w:webHidden/>
          </w:rPr>
        </w:r>
        <w:r w:rsidR="004F64F7">
          <w:rPr>
            <w:noProof/>
            <w:webHidden/>
          </w:rPr>
          <w:fldChar w:fldCharType="separate"/>
        </w:r>
        <w:r w:rsidR="004F64F7">
          <w:rPr>
            <w:noProof/>
            <w:webHidden/>
          </w:rPr>
          <w:t>3</w:t>
        </w:r>
        <w:r w:rsidR="004F64F7">
          <w:rPr>
            <w:noProof/>
            <w:webHidden/>
          </w:rPr>
          <w:fldChar w:fldCharType="end"/>
        </w:r>
      </w:hyperlink>
    </w:p>
    <w:p w14:paraId="0D44484D" w14:textId="4DB1AA7D" w:rsidR="004F64F7" w:rsidRDefault="003351E3">
      <w:pPr>
        <w:pStyle w:val="TOC2"/>
        <w:rPr>
          <w:rFonts w:eastAsiaTheme="minorEastAsia"/>
          <w:noProof/>
          <w:sz w:val="24"/>
          <w:lang w:val="en-CA" w:eastAsia="en-CA"/>
        </w:rPr>
      </w:pPr>
      <w:hyperlink w:anchor="_Toc8387193" w:history="1">
        <w:r w:rsidR="004F64F7" w:rsidRPr="00EE6593">
          <w:rPr>
            <w:rStyle w:val="Hyperlink"/>
            <w:noProof/>
            <w:lang w:val="en-ZA"/>
          </w:rPr>
          <w:t>1.3 Audience</w:t>
        </w:r>
        <w:r w:rsidR="004F64F7">
          <w:rPr>
            <w:noProof/>
            <w:webHidden/>
          </w:rPr>
          <w:tab/>
        </w:r>
        <w:r w:rsidR="004F64F7">
          <w:rPr>
            <w:noProof/>
            <w:webHidden/>
          </w:rPr>
          <w:fldChar w:fldCharType="begin"/>
        </w:r>
        <w:r w:rsidR="004F64F7">
          <w:rPr>
            <w:noProof/>
            <w:webHidden/>
          </w:rPr>
          <w:instrText xml:space="preserve"> PAGEREF _Toc8387193 \h </w:instrText>
        </w:r>
        <w:r w:rsidR="004F64F7">
          <w:rPr>
            <w:noProof/>
            <w:webHidden/>
          </w:rPr>
        </w:r>
        <w:r w:rsidR="004F64F7">
          <w:rPr>
            <w:noProof/>
            <w:webHidden/>
          </w:rPr>
          <w:fldChar w:fldCharType="separate"/>
        </w:r>
        <w:r w:rsidR="004F64F7">
          <w:rPr>
            <w:noProof/>
            <w:webHidden/>
          </w:rPr>
          <w:t>3</w:t>
        </w:r>
        <w:r w:rsidR="004F64F7">
          <w:rPr>
            <w:noProof/>
            <w:webHidden/>
          </w:rPr>
          <w:fldChar w:fldCharType="end"/>
        </w:r>
      </w:hyperlink>
    </w:p>
    <w:p w14:paraId="0F966394" w14:textId="4C3201A7" w:rsidR="004F64F7" w:rsidRDefault="003351E3">
      <w:pPr>
        <w:pStyle w:val="TOC2"/>
        <w:rPr>
          <w:rFonts w:eastAsiaTheme="minorEastAsia"/>
          <w:noProof/>
          <w:sz w:val="24"/>
          <w:lang w:val="en-CA" w:eastAsia="en-CA"/>
        </w:rPr>
      </w:pPr>
      <w:hyperlink w:anchor="_Toc8387194" w:history="1">
        <w:r w:rsidR="004F64F7" w:rsidRPr="00EE6593">
          <w:rPr>
            <w:rStyle w:val="Hyperlink"/>
            <w:noProof/>
            <w:lang w:val="en-ZA"/>
          </w:rPr>
          <w:t>1.4 Guiding Principles of Implementation</w:t>
        </w:r>
        <w:r w:rsidR="004F64F7">
          <w:rPr>
            <w:noProof/>
            <w:webHidden/>
          </w:rPr>
          <w:tab/>
        </w:r>
        <w:r w:rsidR="004F64F7">
          <w:rPr>
            <w:noProof/>
            <w:webHidden/>
          </w:rPr>
          <w:fldChar w:fldCharType="begin"/>
        </w:r>
        <w:r w:rsidR="004F64F7">
          <w:rPr>
            <w:noProof/>
            <w:webHidden/>
          </w:rPr>
          <w:instrText xml:space="preserve"> PAGEREF _Toc8387194 \h </w:instrText>
        </w:r>
        <w:r w:rsidR="004F64F7">
          <w:rPr>
            <w:noProof/>
            <w:webHidden/>
          </w:rPr>
        </w:r>
        <w:r w:rsidR="004F64F7">
          <w:rPr>
            <w:noProof/>
            <w:webHidden/>
          </w:rPr>
          <w:fldChar w:fldCharType="separate"/>
        </w:r>
        <w:r w:rsidR="004F64F7">
          <w:rPr>
            <w:noProof/>
            <w:webHidden/>
          </w:rPr>
          <w:t>3</w:t>
        </w:r>
        <w:r w:rsidR="004F64F7">
          <w:rPr>
            <w:noProof/>
            <w:webHidden/>
          </w:rPr>
          <w:fldChar w:fldCharType="end"/>
        </w:r>
      </w:hyperlink>
    </w:p>
    <w:p w14:paraId="1776E1AF" w14:textId="013A4CFD" w:rsidR="004F64F7" w:rsidRDefault="003351E3">
      <w:pPr>
        <w:pStyle w:val="TOC1"/>
        <w:tabs>
          <w:tab w:val="right" w:leader="dot" w:pos="9350"/>
        </w:tabs>
        <w:rPr>
          <w:rFonts w:eastAsiaTheme="minorEastAsia"/>
          <w:b w:val="0"/>
          <w:noProof/>
          <w:sz w:val="24"/>
          <w:lang w:val="en-CA" w:eastAsia="en-CA"/>
        </w:rPr>
      </w:pPr>
      <w:hyperlink w:anchor="_Toc8387195" w:history="1">
        <w:r w:rsidR="004F64F7" w:rsidRPr="00EE6593">
          <w:rPr>
            <w:rStyle w:val="Hyperlink"/>
            <w:rFonts w:eastAsia="Arial"/>
            <w:noProof/>
          </w:rPr>
          <w:t>Section 2.</w:t>
        </w:r>
        <w:r w:rsidR="004F64F7" w:rsidRPr="00EE6593">
          <w:rPr>
            <w:rStyle w:val="Hyperlink"/>
            <w:noProof/>
          </w:rPr>
          <w:t xml:space="preserve"> Circumstances and place where termination of pregnancy may take place</w:t>
        </w:r>
        <w:r w:rsidR="004F64F7">
          <w:rPr>
            <w:noProof/>
            <w:webHidden/>
          </w:rPr>
          <w:tab/>
        </w:r>
        <w:r w:rsidR="004F64F7">
          <w:rPr>
            <w:noProof/>
            <w:webHidden/>
          </w:rPr>
          <w:fldChar w:fldCharType="begin"/>
        </w:r>
        <w:r w:rsidR="004F64F7">
          <w:rPr>
            <w:noProof/>
            <w:webHidden/>
          </w:rPr>
          <w:instrText xml:space="preserve"> PAGEREF _Toc8387195 \h </w:instrText>
        </w:r>
        <w:r w:rsidR="004F64F7">
          <w:rPr>
            <w:noProof/>
            <w:webHidden/>
          </w:rPr>
        </w:r>
        <w:r w:rsidR="004F64F7">
          <w:rPr>
            <w:noProof/>
            <w:webHidden/>
          </w:rPr>
          <w:fldChar w:fldCharType="separate"/>
        </w:r>
        <w:r w:rsidR="004F64F7">
          <w:rPr>
            <w:noProof/>
            <w:webHidden/>
          </w:rPr>
          <w:t>5</w:t>
        </w:r>
        <w:r w:rsidR="004F64F7">
          <w:rPr>
            <w:noProof/>
            <w:webHidden/>
          </w:rPr>
          <w:fldChar w:fldCharType="end"/>
        </w:r>
      </w:hyperlink>
    </w:p>
    <w:p w14:paraId="46BCC3E6" w14:textId="6FD4B017" w:rsidR="004F64F7" w:rsidRDefault="003351E3">
      <w:pPr>
        <w:pStyle w:val="TOC2"/>
        <w:rPr>
          <w:rFonts w:eastAsiaTheme="minorEastAsia"/>
          <w:noProof/>
          <w:sz w:val="24"/>
          <w:lang w:val="en-CA" w:eastAsia="en-CA"/>
        </w:rPr>
      </w:pPr>
      <w:hyperlink w:anchor="_Toc8387196" w:history="1">
        <w:r w:rsidR="004F64F7" w:rsidRPr="00EE6593">
          <w:rPr>
            <w:rStyle w:val="Hyperlink"/>
            <w:noProof/>
          </w:rPr>
          <w:t>2.1 Who can terminate a pregnancy and when can a pregnancy be terminated?</w:t>
        </w:r>
        <w:r w:rsidR="004F64F7">
          <w:rPr>
            <w:noProof/>
            <w:webHidden/>
          </w:rPr>
          <w:tab/>
        </w:r>
        <w:r w:rsidR="004F64F7">
          <w:rPr>
            <w:noProof/>
            <w:webHidden/>
          </w:rPr>
          <w:fldChar w:fldCharType="begin"/>
        </w:r>
        <w:r w:rsidR="004F64F7">
          <w:rPr>
            <w:noProof/>
            <w:webHidden/>
          </w:rPr>
          <w:instrText xml:space="preserve"> PAGEREF _Toc8387196 \h </w:instrText>
        </w:r>
        <w:r w:rsidR="004F64F7">
          <w:rPr>
            <w:noProof/>
            <w:webHidden/>
          </w:rPr>
        </w:r>
        <w:r w:rsidR="004F64F7">
          <w:rPr>
            <w:noProof/>
            <w:webHidden/>
          </w:rPr>
          <w:fldChar w:fldCharType="separate"/>
        </w:r>
        <w:r w:rsidR="004F64F7">
          <w:rPr>
            <w:noProof/>
            <w:webHidden/>
          </w:rPr>
          <w:t>5</w:t>
        </w:r>
        <w:r w:rsidR="004F64F7">
          <w:rPr>
            <w:noProof/>
            <w:webHidden/>
          </w:rPr>
          <w:fldChar w:fldCharType="end"/>
        </w:r>
      </w:hyperlink>
    </w:p>
    <w:p w14:paraId="52B439C7" w14:textId="21E286BD" w:rsidR="004F64F7" w:rsidRDefault="003351E3">
      <w:pPr>
        <w:pStyle w:val="TOC2"/>
        <w:rPr>
          <w:rFonts w:eastAsiaTheme="minorEastAsia"/>
          <w:noProof/>
          <w:sz w:val="24"/>
          <w:lang w:val="en-CA" w:eastAsia="en-CA"/>
        </w:rPr>
      </w:pPr>
      <w:hyperlink w:anchor="_Toc8387197" w:history="1">
        <w:r w:rsidR="004F64F7" w:rsidRPr="00EE6593">
          <w:rPr>
            <w:rStyle w:val="Hyperlink"/>
            <w:noProof/>
          </w:rPr>
          <w:t>2.2 Where can a pregnancy be terminated?</w:t>
        </w:r>
        <w:r w:rsidR="004F64F7">
          <w:rPr>
            <w:noProof/>
            <w:webHidden/>
          </w:rPr>
          <w:tab/>
        </w:r>
        <w:r w:rsidR="004F64F7">
          <w:rPr>
            <w:noProof/>
            <w:webHidden/>
          </w:rPr>
          <w:fldChar w:fldCharType="begin"/>
        </w:r>
        <w:r w:rsidR="004F64F7">
          <w:rPr>
            <w:noProof/>
            <w:webHidden/>
          </w:rPr>
          <w:instrText xml:space="preserve"> PAGEREF _Toc8387197 \h </w:instrText>
        </w:r>
        <w:r w:rsidR="004F64F7">
          <w:rPr>
            <w:noProof/>
            <w:webHidden/>
          </w:rPr>
        </w:r>
        <w:r w:rsidR="004F64F7">
          <w:rPr>
            <w:noProof/>
            <w:webHidden/>
          </w:rPr>
          <w:fldChar w:fldCharType="separate"/>
        </w:r>
        <w:r w:rsidR="004F64F7">
          <w:rPr>
            <w:noProof/>
            <w:webHidden/>
          </w:rPr>
          <w:t>6</w:t>
        </w:r>
        <w:r w:rsidR="004F64F7">
          <w:rPr>
            <w:noProof/>
            <w:webHidden/>
          </w:rPr>
          <w:fldChar w:fldCharType="end"/>
        </w:r>
      </w:hyperlink>
    </w:p>
    <w:p w14:paraId="67195E5C" w14:textId="11A75D15" w:rsidR="004F64F7" w:rsidRDefault="003351E3">
      <w:pPr>
        <w:pStyle w:val="TOC2"/>
        <w:rPr>
          <w:rFonts w:eastAsiaTheme="minorEastAsia"/>
          <w:noProof/>
          <w:sz w:val="24"/>
          <w:lang w:val="en-CA" w:eastAsia="en-CA"/>
        </w:rPr>
      </w:pPr>
      <w:hyperlink w:anchor="_Toc8387198" w:history="1">
        <w:r w:rsidR="004F64F7" w:rsidRPr="00EE6593">
          <w:rPr>
            <w:rStyle w:val="Hyperlink"/>
            <w:noProof/>
          </w:rPr>
          <w:t>2.3 Obstruction to Access</w:t>
        </w:r>
        <w:r w:rsidR="004F64F7">
          <w:rPr>
            <w:noProof/>
            <w:webHidden/>
          </w:rPr>
          <w:tab/>
        </w:r>
        <w:r w:rsidR="004F64F7">
          <w:rPr>
            <w:noProof/>
            <w:webHidden/>
          </w:rPr>
          <w:fldChar w:fldCharType="begin"/>
        </w:r>
        <w:r w:rsidR="004F64F7">
          <w:rPr>
            <w:noProof/>
            <w:webHidden/>
          </w:rPr>
          <w:instrText xml:space="preserve"> PAGEREF _Toc8387198 \h </w:instrText>
        </w:r>
        <w:r w:rsidR="004F64F7">
          <w:rPr>
            <w:noProof/>
            <w:webHidden/>
          </w:rPr>
        </w:r>
        <w:r w:rsidR="004F64F7">
          <w:rPr>
            <w:noProof/>
            <w:webHidden/>
          </w:rPr>
          <w:fldChar w:fldCharType="separate"/>
        </w:r>
        <w:r w:rsidR="004F64F7">
          <w:rPr>
            <w:noProof/>
            <w:webHidden/>
          </w:rPr>
          <w:t>7</w:t>
        </w:r>
        <w:r w:rsidR="004F64F7">
          <w:rPr>
            <w:noProof/>
            <w:webHidden/>
          </w:rPr>
          <w:fldChar w:fldCharType="end"/>
        </w:r>
      </w:hyperlink>
    </w:p>
    <w:p w14:paraId="5345CBCF" w14:textId="61CE15D0" w:rsidR="004F64F7" w:rsidRDefault="003351E3">
      <w:pPr>
        <w:pStyle w:val="TOC1"/>
        <w:tabs>
          <w:tab w:val="right" w:leader="dot" w:pos="9350"/>
        </w:tabs>
        <w:rPr>
          <w:rFonts w:eastAsiaTheme="minorEastAsia"/>
          <w:b w:val="0"/>
          <w:noProof/>
          <w:sz w:val="24"/>
          <w:lang w:val="en-CA" w:eastAsia="en-CA"/>
        </w:rPr>
      </w:pPr>
      <w:hyperlink w:anchor="_Toc8387199" w:history="1">
        <w:r w:rsidR="004F64F7" w:rsidRPr="00EE6593">
          <w:rPr>
            <w:rStyle w:val="Hyperlink"/>
            <w:rFonts w:eastAsia="Arial"/>
            <w:noProof/>
          </w:rPr>
          <w:t>Section 3.</w:t>
        </w:r>
        <w:r w:rsidR="004F64F7" w:rsidRPr="00EE6593">
          <w:rPr>
            <w:rStyle w:val="Hyperlink"/>
            <w:noProof/>
          </w:rPr>
          <w:t xml:space="preserve"> Information, counselling, and consent</w:t>
        </w:r>
        <w:r w:rsidR="004F64F7">
          <w:rPr>
            <w:noProof/>
            <w:webHidden/>
          </w:rPr>
          <w:tab/>
        </w:r>
        <w:r w:rsidR="004F64F7">
          <w:rPr>
            <w:noProof/>
            <w:webHidden/>
          </w:rPr>
          <w:fldChar w:fldCharType="begin"/>
        </w:r>
        <w:r w:rsidR="004F64F7">
          <w:rPr>
            <w:noProof/>
            <w:webHidden/>
          </w:rPr>
          <w:instrText xml:space="preserve"> PAGEREF _Toc8387199 \h </w:instrText>
        </w:r>
        <w:r w:rsidR="004F64F7">
          <w:rPr>
            <w:noProof/>
            <w:webHidden/>
          </w:rPr>
        </w:r>
        <w:r w:rsidR="004F64F7">
          <w:rPr>
            <w:noProof/>
            <w:webHidden/>
          </w:rPr>
          <w:fldChar w:fldCharType="separate"/>
        </w:r>
        <w:r w:rsidR="004F64F7">
          <w:rPr>
            <w:noProof/>
            <w:webHidden/>
          </w:rPr>
          <w:t>9</w:t>
        </w:r>
        <w:r w:rsidR="004F64F7">
          <w:rPr>
            <w:noProof/>
            <w:webHidden/>
          </w:rPr>
          <w:fldChar w:fldCharType="end"/>
        </w:r>
      </w:hyperlink>
    </w:p>
    <w:p w14:paraId="37A89C9E" w14:textId="3BBB6230" w:rsidR="004F64F7" w:rsidRDefault="003351E3">
      <w:pPr>
        <w:pStyle w:val="TOC2"/>
        <w:rPr>
          <w:rFonts w:eastAsiaTheme="minorEastAsia"/>
          <w:noProof/>
          <w:sz w:val="24"/>
          <w:lang w:val="en-CA" w:eastAsia="en-CA"/>
        </w:rPr>
      </w:pPr>
      <w:hyperlink w:anchor="_Toc8387200" w:history="1">
        <w:r w:rsidR="004F64F7" w:rsidRPr="00EE6593">
          <w:rPr>
            <w:rStyle w:val="Hyperlink"/>
            <w:noProof/>
          </w:rPr>
          <w:t>3.1 Information</w:t>
        </w:r>
        <w:r w:rsidR="004F64F7">
          <w:rPr>
            <w:noProof/>
            <w:webHidden/>
          </w:rPr>
          <w:tab/>
        </w:r>
        <w:r w:rsidR="004F64F7">
          <w:rPr>
            <w:noProof/>
            <w:webHidden/>
          </w:rPr>
          <w:fldChar w:fldCharType="begin"/>
        </w:r>
        <w:r w:rsidR="004F64F7">
          <w:rPr>
            <w:noProof/>
            <w:webHidden/>
          </w:rPr>
          <w:instrText xml:space="preserve"> PAGEREF _Toc8387200 \h </w:instrText>
        </w:r>
        <w:r w:rsidR="004F64F7">
          <w:rPr>
            <w:noProof/>
            <w:webHidden/>
          </w:rPr>
        </w:r>
        <w:r w:rsidR="004F64F7">
          <w:rPr>
            <w:noProof/>
            <w:webHidden/>
          </w:rPr>
          <w:fldChar w:fldCharType="separate"/>
        </w:r>
        <w:r w:rsidR="004F64F7">
          <w:rPr>
            <w:noProof/>
            <w:webHidden/>
          </w:rPr>
          <w:t>9</w:t>
        </w:r>
        <w:r w:rsidR="004F64F7">
          <w:rPr>
            <w:noProof/>
            <w:webHidden/>
          </w:rPr>
          <w:fldChar w:fldCharType="end"/>
        </w:r>
      </w:hyperlink>
    </w:p>
    <w:p w14:paraId="5A8D19C3" w14:textId="166E8562" w:rsidR="004F64F7" w:rsidRDefault="003351E3">
      <w:pPr>
        <w:pStyle w:val="TOC2"/>
        <w:rPr>
          <w:rFonts w:eastAsiaTheme="minorEastAsia"/>
          <w:noProof/>
          <w:sz w:val="24"/>
          <w:lang w:val="en-CA" w:eastAsia="en-CA"/>
        </w:rPr>
      </w:pPr>
      <w:hyperlink w:anchor="_Toc8387201" w:history="1">
        <w:r w:rsidR="004F64F7" w:rsidRPr="00EE6593">
          <w:rPr>
            <w:rStyle w:val="Hyperlink"/>
            <w:noProof/>
          </w:rPr>
          <w:t>3.2 Counselling</w:t>
        </w:r>
        <w:r w:rsidR="004F64F7">
          <w:rPr>
            <w:noProof/>
            <w:webHidden/>
          </w:rPr>
          <w:tab/>
        </w:r>
        <w:r w:rsidR="004F64F7">
          <w:rPr>
            <w:noProof/>
            <w:webHidden/>
          </w:rPr>
          <w:fldChar w:fldCharType="begin"/>
        </w:r>
        <w:r w:rsidR="004F64F7">
          <w:rPr>
            <w:noProof/>
            <w:webHidden/>
          </w:rPr>
          <w:instrText xml:space="preserve"> PAGEREF _Toc8387201 \h </w:instrText>
        </w:r>
        <w:r w:rsidR="004F64F7">
          <w:rPr>
            <w:noProof/>
            <w:webHidden/>
          </w:rPr>
        </w:r>
        <w:r w:rsidR="004F64F7">
          <w:rPr>
            <w:noProof/>
            <w:webHidden/>
          </w:rPr>
          <w:fldChar w:fldCharType="separate"/>
        </w:r>
        <w:r w:rsidR="004F64F7">
          <w:rPr>
            <w:noProof/>
            <w:webHidden/>
          </w:rPr>
          <w:t>10</w:t>
        </w:r>
        <w:r w:rsidR="004F64F7">
          <w:rPr>
            <w:noProof/>
            <w:webHidden/>
          </w:rPr>
          <w:fldChar w:fldCharType="end"/>
        </w:r>
      </w:hyperlink>
    </w:p>
    <w:p w14:paraId="722228CD" w14:textId="10DF6F4F" w:rsidR="004F64F7" w:rsidRDefault="003351E3">
      <w:pPr>
        <w:pStyle w:val="TOC2"/>
        <w:rPr>
          <w:rFonts w:eastAsiaTheme="minorEastAsia"/>
          <w:noProof/>
          <w:sz w:val="24"/>
          <w:lang w:val="en-CA" w:eastAsia="en-CA"/>
        </w:rPr>
      </w:pPr>
      <w:hyperlink w:anchor="_Toc8387202" w:history="1">
        <w:r w:rsidR="004F64F7" w:rsidRPr="00EE6593">
          <w:rPr>
            <w:rStyle w:val="Hyperlink"/>
            <w:noProof/>
          </w:rPr>
          <w:t>3.3 Informed consent</w:t>
        </w:r>
        <w:r w:rsidR="004F64F7">
          <w:rPr>
            <w:noProof/>
            <w:webHidden/>
          </w:rPr>
          <w:tab/>
        </w:r>
        <w:r w:rsidR="004F64F7">
          <w:rPr>
            <w:noProof/>
            <w:webHidden/>
          </w:rPr>
          <w:fldChar w:fldCharType="begin"/>
        </w:r>
        <w:r w:rsidR="004F64F7">
          <w:rPr>
            <w:noProof/>
            <w:webHidden/>
          </w:rPr>
          <w:instrText xml:space="preserve"> PAGEREF _Toc8387202 \h </w:instrText>
        </w:r>
        <w:r w:rsidR="004F64F7">
          <w:rPr>
            <w:noProof/>
            <w:webHidden/>
          </w:rPr>
        </w:r>
        <w:r w:rsidR="004F64F7">
          <w:rPr>
            <w:noProof/>
            <w:webHidden/>
          </w:rPr>
          <w:fldChar w:fldCharType="separate"/>
        </w:r>
        <w:r w:rsidR="004F64F7">
          <w:rPr>
            <w:noProof/>
            <w:webHidden/>
          </w:rPr>
          <w:t>13</w:t>
        </w:r>
        <w:r w:rsidR="004F64F7">
          <w:rPr>
            <w:noProof/>
            <w:webHidden/>
          </w:rPr>
          <w:fldChar w:fldCharType="end"/>
        </w:r>
      </w:hyperlink>
    </w:p>
    <w:p w14:paraId="23842DF2" w14:textId="3BFE032B" w:rsidR="004F64F7" w:rsidRDefault="003351E3">
      <w:pPr>
        <w:pStyle w:val="TOC1"/>
        <w:tabs>
          <w:tab w:val="right" w:leader="dot" w:pos="9350"/>
        </w:tabs>
        <w:rPr>
          <w:rFonts w:eastAsiaTheme="minorEastAsia"/>
          <w:b w:val="0"/>
          <w:noProof/>
          <w:sz w:val="24"/>
          <w:lang w:val="en-CA" w:eastAsia="en-CA"/>
        </w:rPr>
      </w:pPr>
      <w:hyperlink w:anchor="_Toc8387203" w:history="1">
        <w:r w:rsidR="004F64F7" w:rsidRPr="00EE6593">
          <w:rPr>
            <w:rStyle w:val="Hyperlink"/>
            <w:rFonts w:eastAsia="Arial"/>
            <w:noProof/>
          </w:rPr>
          <w:t>Section 4.</w:t>
        </w:r>
        <w:r w:rsidR="004F64F7" w:rsidRPr="00EE6593">
          <w:rPr>
            <w:rStyle w:val="Hyperlink"/>
            <w:noProof/>
          </w:rPr>
          <w:t xml:space="preserve"> Clinical care</w:t>
        </w:r>
        <w:r w:rsidR="004F64F7">
          <w:rPr>
            <w:noProof/>
            <w:webHidden/>
          </w:rPr>
          <w:tab/>
        </w:r>
        <w:r w:rsidR="004F64F7">
          <w:rPr>
            <w:noProof/>
            <w:webHidden/>
          </w:rPr>
          <w:fldChar w:fldCharType="begin"/>
        </w:r>
        <w:r w:rsidR="004F64F7">
          <w:rPr>
            <w:noProof/>
            <w:webHidden/>
          </w:rPr>
          <w:instrText xml:space="preserve"> PAGEREF _Toc8387203 \h </w:instrText>
        </w:r>
        <w:r w:rsidR="004F64F7">
          <w:rPr>
            <w:noProof/>
            <w:webHidden/>
          </w:rPr>
        </w:r>
        <w:r w:rsidR="004F64F7">
          <w:rPr>
            <w:noProof/>
            <w:webHidden/>
          </w:rPr>
          <w:fldChar w:fldCharType="separate"/>
        </w:r>
        <w:r w:rsidR="004F64F7">
          <w:rPr>
            <w:noProof/>
            <w:webHidden/>
          </w:rPr>
          <w:t>15</w:t>
        </w:r>
        <w:r w:rsidR="004F64F7">
          <w:rPr>
            <w:noProof/>
            <w:webHidden/>
          </w:rPr>
          <w:fldChar w:fldCharType="end"/>
        </w:r>
      </w:hyperlink>
    </w:p>
    <w:p w14:paraId="20E35EEE" w14:textId="561D5FA2" w:rsidR="004F64F7" w:rsidRDefault="003351E3">
      <w:pPr>
        <w:pStyle w:val="TOC2"/>
        <w:rPr>
          <w:rFonts w:eastAsiaTheme="minorEastAsia"/>
          <w:noProof/>
          <w:sz w:val="24"/>
          <w:lang w:val="en-CA" w:eastAsia="en-CA"/>
        </w:rPr>
      </w:pPr>
      <w:hyperlink w:anchor="_Toc8387204" w:history="1">
        <w:r w:rsidR="004F64F7" w:rsidRPr="00EE6593">
          <w:rPr>
            <w:rStyle w:val="Hyperlink"/>
            <w:noProof/>
          </w:rPr>
          <w:t>4.1 TOP service delivery algorithm</w:t>
        </w:r>
        <w:r w:rsidR="004F64F7">
          <w:rPr>
            <w:noProof/>
            <w:webHidden/>
          </w:rPr>
          <w:tab/>
        </w:r>
        <w:r w:rsidR="004F64F7">
          <w:rPr>
            <w:noProof/>
            <w:webHidden/>
          </w:rPr>
          <w:fldChar w:fldCharType="begin"/>
        </w:r>
        <w:r w:rsidR="004F64F7">
          <w:rPr>
            <w:noProof/>
            <w:webHidden/>
          </w:rPr>
          <w:instrText xml:space="preserve"> PAGEREF _Toc8387204 \h </w:instrText>
        </w:r>
        <w:r w:rsidR="004F64F7">
          <w:rPr>
            <w:noProof/>
            <w:webHidden/>
          </w:rPr>
        </w:r>
        <w:r w:rsidR="004F64F7">
          <w:rPr>
            <w:noProof/>
            <w:webHidden/>
          </w:rPr>
          <w:fldChar w:fldCharType="separate"/>
        </w:r>
        <w:r w:rsidR="004F64F7">
          <w:rPr>
            <w:noProof/>
            <w:webHidden/>
          </w:rPr>
          <w:t>15</w:t>
        </w:r>
        <w:r w:rsidR="004F64F7">
          <w:rPr>
            <w:noProof/>
            <w:webHidden/>
          </w:rPr>
          <w:fldChar w:fldCharType="end"/>
        </w:r>
      </w:hyperlink>
    </w:p>
    <w:p w14:paraId="4DBD84E9" w14:textId="5EC6FC16" w:rsidR="004F64F7" w:rsidRDefault="003351E3">
      <w:pPr>
        <w:pStyle w:val="TOC2"/>
        <w:rPr>
          <w:rFonts w:eastAsiaTheme="minorEastAsia"/>
          <w:noProof/>
          <w:sz w:val="24"/>
          <w:lang w:val="en-CA" w:eastAsia="en-CA"/>
        </w:rPr>
      </w:pPr>
      <w:hyperlink w:anchor="_Toc8387205" w:history="1">
        <w:r w:rsidR="004F64F7" w:rsidRPr="00EE6593">
          <w:rPr>
            <w:rStyle w:val="Hyperlink"/>
            <w:noProof/>
          </w:rPr>
          <w:t>4.2 Clinical assessment</w:t>
        </w:r>
        <w:r w:rsidR="004F64F7">
          <w:rPr>
            <w:noProof/>
            <w:webHidden/>
          </w:rPr>
          <w:tab/>
        </w:r>
        <w:r w:rsidR="004F64F7">
          <w:rPr>
            <w:noProof/>
            <w:webHidden/>
          </w:rPr>
          <w:fldChar w:fldCharType="begin"/>
        </w:r>
        <w:r w:rsidR="004F64F7">
          <w:rPr>
            <w:noProof/>
            <w:webHidden/>
          </w:rPr>
          <w:instrText xml:space="preserve"> PAGEREF _Toc8387205 \h </w:instrText>
        </w:r>
        <w:r w:rsidR="004F64F7">
          <w:rPr>
            <w:noProof/>
            <w:webHidden/>
          </w:rPr>
        </w:r>
        <w:r w:rsidR="004F64F7">
          <w:rPr>
            <w:noProof/>
            <w:webHidden/>
          </w:rPr>
          <w:fldChar w:fldCharType="separate"/>
        </w:r>
        <w:r w:rsidR="004F64F7">
          <w:rPr>
            <w:noProof/>
            <w:webHidden/>
          </w:rPr>
          <w:t>16</w:t>
        </w:r>
        <w:r w:rsidR="004F64F7">
          <w:rPr>
            <w:noProof/>
            <w:webHidden/>
          </w:rPr>
          <w:fldChar w:fldCharType="end"/>
        </w:r>
      </w:hyperlink>
    </w:p>
    <w:p w14:paraId="7AA0BE2D" w14:textId="1239AFB6" w:rsidR="004F64F7" w:rsidRDefault="003351E3">
      <w:pPr>
        <w:pStyle w:val="TOC2"/>
        <w:rPr>
          <w:rFonts w:eastAsiaTheme="minorEastAsia"/>
          <w:noProof/>
          <w:sz w:val="24"/>
          <w:lang w:val="en-CA" w:eastAsia="en-CA"/>
        </w:rPr>
      </w:pPr>
      <w:hyperlink w:anchor="_Toc8387206" w:history="1">
        <w:r w:rsidR="004F64F7" w:rsidRPr="00EE6593">
          <w:rPr>
            <w:rStyle w:val="Hyperlink"/>
            <w:noProof/>
          </w:rPr>
          <w:t>4.3 Infection prevention and control</w:t>
        </w:r>
        <w:r w:rsidR="004F64F7">
          <w:rPr>
            <w:noProof/>
            <w:webHidden/>
          </w:rPr>
          <w:tab/>
        </w:r>
        <w:r w:rsidR="004F64F7">
          <w:rPr>
            <w:noProof/>
            <w:webHidden/>
          </w:rPr>
          <w:fldChar w:fldCharType="begin"/>
        </w:r>
        <w:r w:rsidR="004F64F7">
          <w:rPr>
            <w:noProof/>
            <w:webHidden/>
          </w:rPr>
          <w:instrText xml:space="preserve"> PAGEREF _Toc8387206 \h </w:instrText>
        </w:r>
        <w:r w:rsidR="004F64F7">
          <w:rPr>
            <w:noProof/>
            <w:webHidden/>
          </w:rPr>
        </w:r>
        <w:r w:rsidR="004F64F7">
          <w:rPr>
            <w:noProof/>
            <w:webHidden/>
          </w:rPr>
          <w:fldChar w:fldCharType="separate"/>
        </w:r>
        <w:r w:rsidR="004F64F7">
          <w:rPr>
            <w:noProof/>
            <w:webHidden/>
          </w:rPr>
          <w:t>17</w:t>
        </w:r>
        <w:r w:rsidR="004F64F7">
          <w:rPr>
            <w:noProof/>
            <w:webHidden/>
          </w:rPr>
          <w:fldChar w:fldCharType="end"/>
        </w:r>
      </w:hyperlink>
    </w:p>
    <w:p w14:paraId="03ACB4E5" w14:textId="53C0A8F9" w:rsidR="004F64F7" w:rsidRDefault="003351E3">
      <w:pPr>
        <w:pStyle w:val="TOC2"/>
        <w:rPr>
          <w:rFonts w:eastAsiaTheme="minorEastAsia"/>
          <w:noProof/>
          <w:sz w:val="24"/>
          <w:lang w:val="en-CA" w:eastAsia="en-CA"/>
        </w:rPr>
      </w:pPr>
      <w:hyperlink w:anchor="_Toc8387207" w:history="1">
        <w:r w:rsidR="004F64F7" w:rsidRPr="00EE6593">
          <w:rPr>
            <w:rStyle w:val="Hyperlink"/>
            <w:noProof/>
          </w:rPr>
          <w:t>4.4 Pain management</w:t>
        </w:r>
        <w:r w:rsidR="004F64F7">
          <w:rPr>
            <w:noProof/>
            <w:webHidden/>
          </w:rPr>
          <w:tab/>
        </w:r>
        <w:r w:rsidR="004F64F7">
          <w:rPr>
            <w:noProof/>
            <w:webHidden/>
          </w:rPr>
          <w:fldChar w:fldCharType="begin"/>
        </w:r>
        <w:r w:rsidR="004F64F7">
          <w:rPr>
            <w:noProof/>
            <w:webHidden/>
          </w:rPr>
          <w:instrText xml:space="preserve"> PAGEREF _Toc8387207 \h </w:instrText>
        </w:r>
        <w:r w:rsidR="004F64F7">
          <w:rPr>
            <w:noProof/>
            <w:webHidden/>
          </w:rPr>
        </w:r>
        <w:r w:rsidR="004F64F7">
          <w:rPr>
            <w:noProof/>
            <w:webHidden/>
          </w:rPr>
          <w:fldChar w:fldCharType="separate"/>
        </w:r>
        <w:r w:rsidR="004F64F7">
          <w:rPr>
            <w:noProof/>
            <w:webHidden/>
          </w:rPr>
          <w:t>18</w:t>
        </w:r>
        <w:r w:rsidR="004F64F7">
          <w:rPr>
            <w:noProof/>
            <w:webHidden/>
          </w:rPr>
          <w:fldChar w:fldCharType="end"/>
        </w:r>
      </w:hyperlink>
    </w:p>
    <w:p w14:paraId="13A46214" w14:textId="1FE7DB8D" w:rsidR="004F64F7" w:rsidRDefault="003351E3">
      <w:pPr>
        <w:pStyle w:val="TOC2"/>
        <w:rPr>
          <w:rFonts w:eastAsiaTheme="minorEastAsia"/>
          <w:noProof/>
          <w:sz w:val="24"/>
          <w:lang w:val="en-CA" w:eastAsia="en-CA"/>
        </w:rPr>
      </w:pPr>
      <w:hyperlink w:anchor="_Toc8387208" w:history="1">
        <w:r w:rsidR="004F64F7" w:rsidRPr="00EE6593">
          <w:rPr>
            <w:rStyle w:val="Hyperlink"/>
            <w:noProof/>
          </w:rPr>
          <w:t>4.5 Other considerations</w:t>
        </w:r>
        <w:r w:rsidR="004F64F7">
          <w:rPr>
            <w:noProof/>
            <w:webHidden/>
          </w:rPr>
          <w:tab/>
        </w:r>
        <w:r w:rsidR="004F64F7">
          <w:rPr>
            <w:noProof/>
            <w:webHidden/>
          </w:rPr>
          <w:fldChar w:fldCharType="begin"/>
        </w:r>
        <w:r w:rsidR="004F64F7">
          <w:rPr>
            <w:noProof/>
            <w:webHidden/>
          </w:rPr>
          <w:instrText xml:space="preserve"> PAGEREF _Toc8387208 \h </w:instrText>
        </w:r>
        <w:r w:rsidR="004F64F7">
          <w:rPr>
            <w:noProof/>
            <w:webHidden/>
          </w:rPr>
        </w:r>
        <w:r w:rsidR="004F64F7">
          <w:rPr>
            <w:noProof/>
            <w:webHidden/>
          </w:rPr>
          <w:fldChar w:fldCharType="separate"/>
        </w:r>
        <w:r w:rsidR="004F64F7">
          <w:rPr>
            <w:noProof/>
            <w:webHidden/>
          </w:rPr>
          <w:t>19</w:t>
        </w:r>
        <w:r w:rsidR="004F64F7">
          <w:rPr>
            <w:noProof/>
            <w:webHidden/>
          </w:rPr>
          <w:fldChar w:fldCharType="end"/>
        </w:r>
      </w:hyperlink>
    </w:p>
    <w:p w14:paraId="2453452D" w14:textId="1FA207D6" w:rsidR="004F64F7" w:rsidRDefault="003351E3">
      <w:pPr>
        <w:pStyle w:val="TOC2"/>
        <w:rPr>
          <w:rFonts w:eastAsiaTheme="minorEastAsia"/>
          <w:noProof/>
          <w:sz w:val="24"/>
          <w:lang w:val="en-CA" w:eastAsia="en-CA"/>
        </w:rPr>
      </w:pPr>
      <w:hyperlink w:anchor="_Toc8387209" w:history="1">
        <w:r w:rsidR="004F64F7" w:rsidRPr="00EE6593">
          <w:rPr>
            <w:rStyle w:val="Hyperlink"/>
            <w:noProof/>
          </w:rPr>
          <w:t>4.6 Medical termination of pregnancy</w:t>
        </w:r>
        <w:r w:rsidR="004F64F7">
          <w:rPr>
            <w:noProof/>
            <w:webHidden/>
          </w:rPr>
          <w:tab/>
        </w:r>
        <w:r w:rsidR="004F64F7">
          <w:rPr>
            <w:noProof/>
            <w:webHidden/>
          </w:rPr>
          <w:fldChar w:fldCharType="begin"/>
        </w:r>
        <w:r w:rsidR="004F64F7">
          <w:rPr>
            <w:noProof/>
            <w:webHidden/>
          </w:rPr>
          <w:instrText xml:space="preserve"> PAGEREF _Toc8387209 \h </w:instrText>
        </w:r>
        <w:r w:rsidR="004F64F7">
          <w:rPr>
            <w:noProof/>
            <w:webHidden/>
          </w:rPr>
        </w:r>
        <w:r w:rsidR="004F64F7">
          <w:rPr>
            <w:noProof/>
            <w:webHidden/>
          </w:rPr>
          <w:fldChar w:fldCharType="separate"/>
        </w:r>
        <w:r w:rsidR="004F64F7">
          <w:rPr>
            <w:noProof/>
            <w:webHidden/>
          </w:rPr>
          <w:t>20</w:t>
        </w:r>
        <w:r w:rsidR="004F64F7">
          <w:rPr>
            <w:noProof/>
            <w:webHidden/>
          </w:rPr>
          <w:fldChar w:fldCharType="end"/>
        </w:r>
      </w:hyperlink>
    </w:p>
    <w:p w14:paraId="299193C2" w14:textId="63141CD0" w:rsidR="004F64F7" w:rsidRDefault="003351E3">
      <w:pPr>
        <w:pStyle w:val="TOC2"/>
        <w:rPr>
          <w:rFonts w:eastAsiaTheme="minorEastAsia"/>
          <w:noProof/>
          <w:sz w:val="24"/>
          <w:lang w:val="en-CA" w:eastAsia="en-CA"/>
        </w:rPr>
      </w:pPr>
      <w:hyperlink w:anchor="_Toc8387210" w:history="1">
        <w:r w:rsidR="004F64F7" w:rsidRPr="00EE6593">
          <w:rPr>
            <w:rStyle w:val="Hyperlink"/>
            <w:noProof/>
          </w:rPr>
          <w:t>4.7 Surgical termination of pregnancy</w:t>
        </w:r>
        <w:r w:rsidR="004F64F7">
          <w:rPr>
            <w:noProof/>
            <w:webHidden/>
          </w:rPr>
          <w:tab/>
        </w:r>
        <w:r w:rsidR="004F64F7">
          <w:rPr>
            <w:noProof/>
            <w:webHidden/>
          </w:rPr>
          <w:fldChar w:fldCharType="begin"/>
        </w:r>
        <w:r w:rsidR="004F64F7">
          <w:rPr>
            <w:noProof/>
            <w:webHidden/>
          </w:rPr>
          <w:instrText xml:space="preserve"> PAGEREF _Toc8387210 \h </w:instrText>
        </w:r>
        <w:r w:rsidR="004F64F7">
          <w:rPr>
            <w:noProof/>
            <w:webHidden/>
          </w:rPr>
        </w:r>
        <w:r w:rsidR="004F64F7">
          <w:rPr>
            <w:noProof/>
            <w:webHidden/>
          </w:rPr>
          <w:fldChar w:fldCharType="separate"/>
        </w:r>
        <w:r w:rsidR="004F64F7">
          <w:rPr>
            <w:noProof/>
            <w:webHidden/>
          </w:rPr>
          <w:t>23</w:t>
        </w:r>
        <w:r w:rsidR="004F64F7">
          <w:rPr>
            <w:noProof/>
            <w:webHidden/>
          </w:rPr>
          <w:fldChar w:fldCharType="end"/>
        </w:r>
      </w:hyperlink>
    </w:p>
    <w:p w14:paraId="50DE4D19" w14:textId="670F886D" w:rsidR="004F64F7" w:rsidRDefault="003351E3">
      <w:pPr>
        <w:pStyle w:val="TOC2"/>
        <w:rPr>
          <w:rFonts w:eastAsiaTheme="minorEastAsia"/>
          <w:noProof/>
          <w:sz w:val="24"/>
          <w:lang w:val="en-CA" w:eastAsia="en-CA"/>
        </w:rPr>
      </w:pPr>
      <w:hyperlink w:anchor="_Toc8387211" w:history="1">
        <w:r w:rsidR="004F64F7" w:rsidRPr="00EE6593">
          <w:rPr>
            <w:rStyle w:val="Hyperlink"/>
            <w:noProof/>
          </w:rPr>
          <w:t>4.8 Post-TOP care</w:t>
        </w:r>
        <w:r w:rsidR="004F64F7">
          <w:rPr>
            <w:noProof/>
            <w:webHidden/>
          </w:rPr>
          <w:tab/>
        </w:r>
        <w:r w:rsidR="004F64F7">
          <w:rPr>
            <w:noProof/>
            <w:webHidden/>
          </w:rPr>
          <w:fldChar w:fldCharType="begin"/>
        </w:r>
        <w:r w:rsidR="004F64F7">
          <w:rPr>
            <w:noProof/>
            <w:webHidden/>
          </w:rPr>
          <w:instrText xml:space="preserve"> PAGEREF _Toc8387211 \h </w:instrText>
        </w:r>
        <w:r w:rsidR="004F64F7">
          <w:rPr>
            <w:noProof/>
            <w:webHidden/>
          </w:rPr>
        </w:r>
        <w:r w:rsidR="004F64F7">
          <w:rPr>
            <w:noProof/>
            <w:webHidden/>
          </w:rPr>
          <w:fldChar w:fldCharType="separate"/>
        </w:r>
        <w:r w:rsidR="004F64F7">
          <w:rPr>
            <w:noProof/>
            <w:webHidden/>
          </w:rPr>
          <w:t>26</w:t>
        </w:r>
        <w:r w:rsidR="004F64F7">
          <w:rPr>
            <w:noProof/>
            <w:webHidden/>
          </w:rPr>
          <w:fldChar w:fldCharType="end"/>
        </w:r>
      </w:hyperlink>
    </w:p>
    <w:p w14:paraId="7B4086D4" w14:textId="5402CE57" w:rsidR="004F64F7" w:rsidRDefault="003351E3">
      <w:pPr>
        <w:pStyle w:val="TOC1"/>
        <w:tabs>
          <w:tab w:val="right" w:leader="dot" w:pos="9350"/>
        </w:tabs>
        <w:rPr>
          <w:rFonts w:eastAsiaTheme="minorEastAsia"/>
          <w:b w:val="0"/>
          <w:noProof/>
          <w:sz w:val="24"/>
          <w:lang w:val="en-CA" w:eastAsia="en-CA"/>
        </w:rPr>
      </w:pPr>
      <w:hyperlink w:anchor="_Toc8387212" w:history="1">
        <w:r w:rsidR="004F64F7" w:rsidRPr="00EE6593">
          <w:rPr>
            <w:rStyle w:val="Hyperlink"/>
            <w:rFonts w:eastAsia="Arial"/>
            <w:noProof/>
          </w:rPr>
          <w:t>Section 5. Service delivery platform</w:t>
        </w:r>
        <w:r w:rsidR="004F64F7">
          <w:rPr>
            <w:noProof/>
            <w:webHidden/>
          </w:rPr>
          <w:tab/>
        </w:r>
        <w:r w:rsidR="004F64F7">
          <w:rPr>
            <w:noProof/>
            <w:webHidden/>
          </w:rPr>
          <w:fldChar w:fldCharType="begin"/>
        </w:r>
        <w:r w:rsidR="004F64F7">
          <w:rPr>
            <w:noProof/>
            <w:webHidden/>
          </w:rPr>
          <w:instrText xml:space="preserve"> PAGEREF _Toc8387212 \h </w:instrText>
        </w:r>
        <w:r w:rsidR="004F64F7">
          <w:rPr>
            <w:noProof/>
            <w:webHidden/>
          </w:rPr>
        </w:r>
        <w:r w:rsidR="004F64F7">
          <w:rPr>
            <w:noProof/>
            <w:webHidden/>
          </w:rPr>
          <w:fldChar w:fldCharType="separate"/>
        </w:r>
        <w:r w:rsidR="004F64F7">
          <w:rPr>
            <w:noProof/>
            <w:webHidden/>
          </w:rPr>
          <w:t>33</w:t>
        </w:r>
        <w:r w:rsidR="004F64F7">
          <w:rPr>
            <w:noProof/>
            <w:webHidden/>
          </w:rPr>
          <w:fldChar w:fldCharType="end"/>
        </w:r>
      </w:hyperlink>
    </w:p>
    <w:p w14:paraId="75816F8B" w14:textId="3EA59A80" w:rsidR="004F64F7" w:rsidRDefault="003351E3">
      <w:pPr>
        <w:pStyle w:val="TOC2"/>
        <w:rPr>
          <w:rFonts w:eastAsiaTheme="minorEastAsia"/>
          <w:noProof/>
          <w:sz w:val="24"/>
          <w:lang w:val="en-CA" w:eastAsia="en-CA"/>
        </w:rPr>
      </w:pPr>
      <w:hyperlink w:anchor="_Toc8387213" w:history="1">
        <w:r w:rsidR="004F64F7" w:rsidRPr="00EE6593">
          <w:rPr>
            <w:rStyle w:val="Hyperlink"/>
            <w:noProof/>
          </w:rPr>
          <w:t>5.1 Training</w:t>
        </w:r>
        <w:r w:rsidR="004F64F7">
          <w:rPr>
            <w:noProof/>
            <w:webHidden/>
          </w:rPr>
          <w:tab/>
        </w:r>
        <w:r w:rsidR="004F64F7">
          <w:rPr>
            <w:noProof/>
            <w:webHidden/>
          </w:rPr>
          <w:fldChar w:fldCharType="begin"/>
        </w:r>
        <w:r w:rsidR="004F64F7">
          <w:rPr>
            <w:noProof/>
            <w:webHidden/>
          </w:rPr>
          <w:instrText xml:space="preserve"> PAGEREF _Toc8387213 \h </w:instrText>
        </w:r>
        <w:r w:rsidR="004F64F7">
          <w:rPr>
            <w:noProof/>
            <w:webHidden/>
          </w:rPr>
        </w:r>
        <w:r w:rsidR="004F64F7">
          <w:rPr>
            <w:noProof/>
            <w:webHidden/>
          </w:rPr>
          <w:fldChar w:fldCharType="separate"/>
        </w:r>
        <w:r w:rsidR="004F64F7">
          <w:rPr>
            <w:noProof/>
            <w:webHidden/>
          </w:rPr>
          <w:t>33</w:t>
        </w:r>
        <w:r w:rsidR="004F64F7">
          <w:rPr>
            <w:noProof/>
            <w:webHidden/>
          </w:rPr>
          <w:fldChar w:fldCharType="end"/>
        </w:r>
      </w:hyperlink>
    </w:p>
    <w:p w14:paraId="01A12382" w14:textId="4F2CE553" w:rsidR="004F64F7" w:rsidRDefault="003351E3">
      <w:pPr>
        <w:pStyle w:val="TOC2"/>
        <w:rPr>
          <w:rFonts w:eastAsiaTheme="minorEastAsia"/>
          <w:noProof/>
          <w:sz w:val="24"/>
          <w:lang w:val="en-CA" w:eastAsia="en-CA"/>
        </w:rPr>
      </w:pPr>
      <w:hyperlink w:anchor="_Toc8387214" w:history="1">
        <w:r w:rsidR="004F64F7" w:rsidRPr="00EE6593">
          <w:rPr>
            <w:rStyle w:val="Hyperlink"/>
            <w:noProof/>
          </w:rPr>
          <w:t>5.2 Monitoring and evaluation</w:t>
        </w:r>
        <w:r w:rsidR="004F64F7">
          <w:rPr>
            <w:noProof/>
            <w:webHidden/>
          </w:rPr>
          <w:tab/>
        </w:r>
        <w:r w:rsidR="004F64F7">
          <w:rPr>
            <w:noProof/>
            <w:webHidden/>
          </w:rPr>
          <w:fldChar w:fldCharType="begin"/>
        </w:r>
        <w:r w:rsidR="004F64F7">
          <w:rPr>
            <w:noProof/>
            <w:webHidden/>
          </w:rPr>
          <w:instrText xml:space="preserve"> PAGEREF _Toc8387214 \h </w:instrText>
        </w:r>
        <w:r w:rsidR="004F64F7">
          <w:rPr>
            <w:noProof/>
            <w:webHidden/>
          </w:rPr>
        </w:r>
        <w:r w:rsidR="004F64F7">
          <w:rPr>
            <w:noProof/>
            <w:webHidden/>
          </w:rPr>
          <w:fldChar w:fldCharType="separate"/>
        </w:r>
        <w:r w:rsidR="004F64F7">
          <w:rPr>
            <w:noProof/>
            <w:webHidden/>
          </w:rPr>
          <w:t>33</w:t>
        </w:r>
        <w:r w:rsidR="004F64F7">
          <w:rPr>
            <w:noProof/>
            <w:webHidden/>
          </w:rPr>
          <w:fldChar w:fldCharType="end"/>
        </w:r>
      </w:hyperlink>
    </w:p>
    <w:p w14:paraId="1DDBD705" w14:textId="2100E596" w:rsidR="004F64F7" w:rsidRDefault="003351E3">
      <w:pPr>
        <w:pStyle w:val="TOC2"/>
        <w:rPr>
          <w:rFonts w:eastAsiaTheme="minorEastAsia"/>
          <w:noProof/>
          <w:sz w:val="24"/>
          <w:lang w:val="en-CA" w:eastAsia="en-CA"/>
        </w:rPr>
      </w:pPr>
      <w:hyperlink w:anchor="_Toc8387215" w:history="1">
        <w:r w:rsidR="004F64F7" w:rsidRPr="00EE6593">
          <w:rPr>
            <w:rStyle w:val="Hyperlink"/>
            <w:noProof/>
          </w:rPr>
          <w:t>5.3 Multi-sectoral collaboration and stewardship</w:t>
        </w:r>
        <w:r w:rsidR="004F64F7">
          <w:rPr>
            <w:noProof/>
            <w:webHidden/>
          </w:rPr>
          <w:tab/>
        </w:r>
        <w:r w:rsidR="004F64F7">
          <w:rPr>
            <w:noProof/>
            <w:webHidden/>
          </w:rPr>
          <w:fldChar w:fldCharType="begin"/>
        </w:r>
        <w:r w:rsidR="004F64F7">
          <w:rPr>
            <w:noProof/>
            <w:webHidden/>
          </w:rPr>
          <w:instrText xml:space="preserve"> PAGEREF _Toc8387215 \h </w:instrText>
        </w:r>
        <w:r w:rsidR="004F64F7">
          <w:rPr>
            <w:noProof/>
            <w:webHidden/>
          </w:rPr>
        </w:r>
        <w:r w:rsidR="004F64F7">
          <w:rPr>
            <w:noProof/>
            <w:webHidden/>
          </w:rPr>
          <w:fldChar w:fldCharType="separate"/>
        </w:r>
        <w:r w:rsidR="004F64F7">
          <w:rPr>
            <w:noProof/>
            <w:webHidden/>
          </w:rPr>
          <w:t>34</w:t>
        </w:r>
        <w:r w:rsidR="004F64F7">
          <w:rPr>
            <w:noProof/>
            <w:webHidden/>
          </w:rPr>
          <w:fldChar w:fldCharType="end"/>
        </w:r>
      </w:hyperlink>
    </w:p>
    <w:p w14:paraId="15D4956A" w14:textId="39BABBD5" w:rsidR="004F64F7" w:rsidRDefault="003351E3">
      <w:pPr>
        <w:pStyle w:val="TOC2"/>
        <w:rPr>
          <w:rFonts w:eastAsiaTheme="minorEastAsia"/>
          <w:noProof/>
          <w:sz w:val="24"/>
          <w:lang w:val="en-CA" w:eastAsia="en-CA"/>
        </w:rPr>
      </w:pPr>
      <w:hyperlink w:anchor="_Toc8387216" w:history="1">
        <w:r w:rsidR="004F64F7" w:rsidRPr="00EE6593">
          <w:rPr>
            <w:rStyle w:val="Hyperlink"/>
            <w:noProof/>
          </w:rPr>
          <w:t>5.4 Summary of best practices in service delivery</w:t>
        </w:r>
        <w:r w:rsidR="004F64F7">
          <w:rPr>
            <w:noProof/>
            <w:webHidden/>
          </w:rPr>
          <w:tab/>
        </w:r>
        <w:r w:rsidR="004F64F7">
          <w:rPr>
            <w:noProof/>
            <w:webHidden/>
          </w:rPr>
          <w:fldChar w:fldCharType="begin"/>
        </w:r>
        <w:r w:rsidR="004F64F7">
          <w:rPr>
            <w:noProof/>
            <w:webHidden/>
          </w:rPr>
          <w:instrText xml:space="preserve"> PAGEREF _Toc8387216 \h </w:instrText>
        </w:r>
        <w:r w:rsidR="004F64F7">
          <w:rPr>
            <w:noProof/>
            <w:webHidden/>
          </w:rPr>
        </w:r>
        <w:r w:rsidR="004F64F7">
          <w:rPr>
            <w:noProof/>
            <w:webHidden/>
          </w:rPr>
          <w:fldChar w:fldCharType="separate"/>
        </w:r>
        <w:r w:rsidR="004F64F7">
          <w:rPr>
            <w:noProof/>
            <w:webHidden/>
          </w:rPr>
          <w:t>35</w:t>
        </w:r>
        <w:r w:rsidR="004F64F7">
          <w:rPr>
            <w:noProof/>
            <w:webHidden/>
          </w:rPr>
          <w:fldChar w:fldCharType="end"/>
        </w:r>
      </w:hyperlink>
    </w:p>
    <w:p w14:paraId="1774C423" w14:textId="3010AE65" w:rsidR="004F64F7" w:rsidRDefault="003351E3">
      <w:pPr>
        <w:pStyle w:val="TOC1"/>
        <w:tabs>
          <w:tab w:val="right" w:leader="dot" w:pos="9350"/>
        </w:tabs>
        <w:rPr>
          <w:rFonts w:eastAsiaTheme="minorEastAsia"/>
          <w:b w:val="0"/>
          <w:noProof/>
          <w:sz w:val="24"/>
          <w:lang w:val="en-CA" w:eastAsia="en-CA"/>
        </w:rPr>
      </w:pPr>
      <w:hyperlink w:anchor="_Toc8387217" w:history="1">
        <w:r w:rsidR="004F64F7" w:rsidRPr="00EE6593">
          <w:rPr>
            <w:rStyle w:val="Hyperlink"/>
            <w:noProof/>
          </w:rPr>
          <w:t>Acknowledgements</w:t>
        </w:r>
        <w:r w:rsidR="004F64F7">
          <w:rPr>
            <w:noProof/>
            <w:webHidden/>
          </w:rPr>
          <w:tab/>
        </w:r>
        <w:r w:rsidR="004F64F7">
          <w:rPr>
            <w:noProof/>
            <w:webHidden/>
          </w:rPr>
          <w:fldChar w:fldCharType="begin"/>
        </w:r>
        <w:r w:rsidR="004F64F7">
          <w:rPr>
            <w:noProof/>
            <w:webHidden/>
          </w:rPr>
          <w:instrText xml:space="preserve"> PAGEREF _Toc8387217 \h </w:instrText>
        </w:r>
        <w:r w:rsidR="004F64F7">
          <w:rPr>
            <w:noProof/>
            <w:webHidden/>
          </w:rPr>
        </w:r>
        <w:r w:rsidR="004F64F7">
          <w:rPr>
            <w:noProof/>
            <w:webHidden/>
          </w:rPr>
          <w:fldChar w:fldCharType="separate"/>
        </w:r>
        <w:r w:rsidR="004F64F7">
          <w:rPr>
            <w:noProof/>
            <w:webHidden/>
          </w:rPr>
          <w:t>38</w:t>
        </w:r>
        <w:r w:rsidR="004F64F7">
          <w:rPr>
            <w:noProof/>
            <w:webHidden/>
          </w:rPr>
          <w:fldChar w:fldCharType="end"/>
        </w:r>
      </w:hyperlink>
    </w:p>
    <w:p w14:paraId="75952C85" w14:textId="5467BCEC" w:rsidR="004F64F7" w:rsidRDefault="003351E3">
      <w:pPr>
        <w:pStyle w:val="TOC1"/>
        <w:tabs>
          <w:tab w:val="right" w:leader="dot" w:pos="9350"/>
        </w:tabs>
        <w:rPr>
          <w:rFonts w:eastAsiaTheme="minorEastAsia"/>
          <w:b w:val="0"/>
          <w:noProof/>
          <w:sz w:val="24"/>
          <w:lang w:val="en-CA" w:eastAsia="en-CA"/>
        </w:rPr>
      </w:pPr>
      <w:hyperlink w:anchor="_Toc8387218" w:history="1">
        <w:r w:rsidR="004F64F7" w:rsidRPr="00EE6593">
          <w:rPr>
            <w:rStyle w:val="Hyperlink"/>
            <w:noProof/>
          </w:rPr>
          <w:t>References</w:t>
        </w:r>
        <w:r w:rsidR="004F64F7">
          <w:rPr>
            <w:noProof/>
            <w:webHidden/>
          </w:rPr>
          <w:tab/>
        </w:r>
        <w:r w:rsidR="004F64F7">
          <w:rPr>
            <w:noProof/>
            <w:webHidden/>
          </w:rPr>
          <w:fldChar w:fldCharType="begin"/>
        </w:r>
        <w:r w:rsidR="004F64F7">
          <w:rPr>
            <w:noProof/>
            <w:webHidden/>
          </w:rPr>
          <w:instrText xml:space="preserve"> PAGEREF _Toc8387218 \h </w:instrText>
        </w:r>
        <w:r w:rsidR="004F64F7">
          <w:rPr>
            <w:noProof/>
            <w:webHidden/>
          </w:rPr>
        </w:r>
        <w:r w:rsidR="004F64F7">
          <w:rPr>
            <w:noProof/>
            <w:webHidden/>
          </w:rPr>
          <w:fldChar w:fldCharType="separate"/>
        </w:r>
        <w:r w:rsidR="004F64F7">
          <w:rPr>
            <w:noProof/>
            <w:webHidden/>
          </w:rPr>
          <w:t>39</w:t>
        </w:r>
        <w:r w:rsidR="004F64F7">
          <w:rPr>
            <w:noProof/>
            <w:webHidden/>
          </w:rPr>
          <w:fldChar w:fldCharType="end"/>
        </w:r>
      </w:hyperlink>
    </w:p>
    <w:p w14:paraId="71B3FD0B" w14:textId="401B1C5B" w:rsidR="00503162" w:rsidRDefault="00053B71" w:rsidP="00053B71">
      <w:r>
        <w:fldChar w:fldCharType="end"/>
      </w:r>
      <w:r w:rsidR="00503162">
        <w:br w:type="page"/>
      </w:r>
    </w:p>
    <w:p w14:paraId="1A414391" w14:textId="17F4F0CE" w:rsidR="00795B05" w:rsidRDefault="00AD49AD" w:rsidP="00503162">
      <w:pPr>
        <w:pStyle w:val="Heading1"/>
        <w:numPr>
          <w:ilvl w:val="0"/>
          <w:numId w:val="0"/>
        </w:numPr>
      </w:pPr>
      <w:bookmarkStart w:id="6" w:name="_Toc530407818"/>
      <w:bookmarkStart w:id="7" w:name="_Toc8387186"/>
      <w:r>
        <w:lastRenderedPageBreak/>
        <w:t>List</w:t>
      </w:r>
      <w:r w:rsidR="00503162">
        <w:t xml:space="preserve"> of Figures</w:t>
      </w:r>
      <w:bookmarkEnd w:id="6"/>
      <w:r>
        <w:t xml:space="preserve"> and Tables</w:t>
      </w:r>
      <w:bookmarkEnd w:id="7"/>
    </w:p>
    <w:p w14:paraId="2AC6CD1A" w14:textId="77777777" w:rsidR="00AD49AD" w:rsidRPr="00AD49AD" w:rsidRDefault="00AD49AD" w:rsidP="00AD49AD"/>
    <w:p w14:paraId="1B1B4622" w14:textId="602B23B5" w:rsidR="004F64F7" w:rsidRDefault="00053B71">
      <w:pPr>
        <w:pStyle w:val="TableofFigures"/>
        <w:tabs>
          <w:tab w:val="right" w:leader="dot" w:pos="9350"/>
        </w:tabs>
        <w:rPr>
          <w:rFonts w:eastAsiaTheme="minorEastAsia"/>
          <w:noProof/>
          <w:sz w:val="24"/>
          <w:lang w:val="en-CA" w:eastAsia="en-CA"/>
        </w:rPr>
      </w:pPr>
      <w:r>
        <w:fldChar w:fldCharType="begin"/>
      </w:r>
      <w:r>
        <w:instrText xml:space="preserve"> TOC \h \z \c "Figure" </w:instrText>
      </w:r>
      <w:r>
        <w:fldChar w:fldCharType="separate"/>
      </w:r>
      <w:hyperlink w:anchor="_Toc8387232" w:history="1">
        <w:r w:rsidR="004F64F7" w:rsidRPr="00152979">
          <w:rPr>
            <w:rStyle w:val="Hyperlink"/>
            <w:noProof/>
          </w:rPr>
          <w:t>Figure 1. Standard process for informed consent</w:t>
        </w:r>
        <w:r w:rsidR="004F64F7">
          <w:rPr>
            <w:noProof/>
            <w:webHidden/>
          </w:rPr>
          <w:tab/>
        </w:r>
        <w:r w:rsidR="004F64F7">
          <w:rPr>
            <w:noProof/>
            <w:webHidden/>
          </w:rPr>
          <w:fldChar w:fldCharType="begin"/>
        </w:r>
        <w:r w:rsidR="004F64F7">
          <w:rPr>
            <w:noProof/>
            <w:webHidden/>
          </w:rPr>
          <w:instrText xml:space="preserve"> PAGEREF _Toc8387232 \h </w:instrText>
        </w:r>
        <w:r w:rsidR="004F64F7">
          <w:rPr>
            <w:noProof/>
            <w:webHidden/>
          </w:rPr>
        </w:r>
        <w:r w:rsidR="004F64F7">
          <w:rPr>
            <w:noProof/>
            <w:webHidden/>
          </w:rPr>
          <w:fldChar w:fldCharType="separate"/>
        </w:r>
        <w:r w:rsidR="004F64F7">
          <w:rPr>
            <w:noProof/>
            <w:webHidden/>
          </w:rPr>
          <w:t>14</w:t>
        </w:r>
        <w:r w:rsidR="004F64F7">
          <w:rPr>
            <w:noProof/>
            <w:webHidden/>
          </w:rPr>
          <w:fldChar w:fldCharType="end"/>
        </w:r>
      </w:hyperlink>
    </w:p>
    <w:p w14:paraId="005E4106" w14:textId="5C37EC85" w:rsidR="004F64F7" w:rsidRDefault="003351E3">
      <w:pPr>
        <w:pStyle w:val="TableofFigures"/>
        <w:tabs>
          <w:tab w:val="right" w:leader="dot" w:pos="9350"/>
        </w:tabs>
        <w:rPr>
          <w:rFonts w:eastAsiaTheme="minorEastAsia"/>
          <w:noProof/>
          <w:sz w:val="24"/>
          <w:lang w:val="en-CA" w:eastAsia="en-CA"/>
        </w:rPr>
      </w:pPr>
      <w:hyperlink w:anchor="_Toc8387233" w:history="1">
        <w:r w:rsidR="004F64F7" w:rsidRPr="00152979">
          <w:rPr>
            <w:rStyle w:val="Hyperlink"/>
            <w:noProof/>
          </w:rPr>
          <w:t>Figure 2. TOP service delivery and referral algorithm</w:t>
        </w:r>
        <w:r w:rsidR="004F64F7">
          <w:rPr>
            <w:noProof/>
            <w:webHidden/>
          </w:rPr>
          <w:tab/>
        </w:r>
        <w:r w:rsidR="004F64F7">
          <w:rPr>
            <w:noProof/>
            <w:webHidden/>
          </w:rPr>
          <w:fldChar w:fldCharType="begin"/>
        </w:r>
        <w:r w:rsidR="004F64F7">
          <w:rPr>
            <w:noProof/>
            <w:webHidden/>
          </w:rPr>
          <w:instrText xml:space="preserve"> PAGEREF _Toc8387233 \h </w:instrText>
        </w:r>
        <w:r w:rsidR="004F64F7">
          <w:rPr>
            <w:noProof/>
            <w:webHidden/>
          </w:rPr>
        </w:r>
        <w:r w:rsidR="004F64F7">
          <w:rPr>
            <w:noProof/>
            <w:webHidden/>
          </w:rPr>
          <w:fldChar w:fldCharType="separate"/>
        </w:r>
        <w:r w:rsidR="004F64F7">
          <w:rPr>
            <w:noProof/>
            <w:webHidden/>
          </w:rPr>
          <w:t>16</w:t>
        </w:r>
        <w:r w:rsidR="004F64F7">
          <w:rPr>
            <w:noProof/>
            <w:webHidden/>
          </w:rPr>
          <w:fldChar w:fldCharType="end"/>
        </w:r>
      </w:hyperlink>
    </w:p>
    <w:p w14:paraId="3AF13F46" w14:textId="5EC19234" w:rsidR="004F64F7" w:rsidRDefault="003351E3">
      <w:pPr>
        <w:pStyle w:val="TableofFigures"/>
        <w:tabs>
          <w:tab w:val="right" w:leader="dot" w:pos="9350"/>
        </w:tabs>
        <w:rPr>
          <w:rFonts w:eastAsiaTheme="minorEastAsia"/>
          <w:noProof/>
          <w:sz w:val="24"/>
          <w:lang w:val="en-CA" w:eastAsia="en-CA"/>
        </w:rPr>
      </w:pPr>
      <w:hyperlink w:anchor="_Toc8387234" w:history="1">
        <w:r w:rsidR="004F64F7" w:rsidRPr="00152979">
          <w:rPr>
            <w:rStyle w:val="Hyperlink"/>
            <w:noProof/>
          </w:rPr>
          <w:t>Figure 3. Algorithm for managing post TOP haemorrhage</w:t>
        </w:r>
        <w:r w:rsidR="004F64F7">
          <w:rPr>
            <w:noProof/>
            <w:webHidden/>
          </w:rPr>
          <w:tab/>
        </w:r>
        <w:r w:rsidR="004F64F7">
          <w:rPr>
            <w:noProof/>
            <w:webHidden/>
          </w:rPr>
          <w:fldChar w:fldCharType="begin"/>
        </w:r>
        <w:r w:rsidR="004F64F7">
          <w:rPr>
            <w:noProof/>
            <w:webHidden/>
          </w:rPr>
          <w:instrText xml:space="preserve"> PAGEREF _Toc8387234 \h </w:instrText>
        </w:r>
        <w:r w:rsidR="004F64F7">
          <w:rPr>
            <w:noProof/>
            <w:webHidden/>
          </w:rPr>
        </w:r>
        <w:r w:rsidR="004F64F7">
          <w:rPr>
            <w:noProof/>
            <w:webHidden/>
          </w:rPr>
          <w:fldChar w:fldCharType="separate"/>
        </w:r>
        <w:r w:rsidR="004F64F7">
          <w:rPr>
            <w:noProof/>
            <w:webHidden/>
          </w:rPr>
          <w:t>32</w:t>
        </w:r>
        <w:r w:rsidR="004F64F7">
          <w:rPr>
            <w:noProof/>
            <w:webHidden/>
          </w:rPr>
          <w:fldChar w:fldCharType="end"/>
        </w:r>
      </w:hyperlink>
    </w:p>
    <w:p w14:paraId="1E681900" w14:textId="54E97430" w:rsidR="00503162" w:rsidRDefault="00053B71" w:rsidP="00771FD1">
      <w:r>
        <w:fldChar w:fldCharType="end"/>
      </w:r>
    </w:p>
    <w:p w14:paraId="50DB508B" w14:textId="77777777" w:rsidR="00B1479F" w:rsidRDefault="00B1479F" w:rsidP="00771FD1"/>
    <w:p w14:paraId="490A0769" w14:textId="625BFA93" w:rsidR="004F64F7" w:rsidRDefault="00053B71">
      <w:pPr>
        <w:pStyle w:val="TableofFigures"/>
        <w:tabs>
          <w:tab w:val="right" w:leader="dot" w:pos="9350"/>
        </w:tabs>
        <w:rPr>
          <w:rFonts w:eastAsiaTheme="minorEastAsia"/>
          <w:noProof/>
          <w:sz w:val="24"/>
          <w:lang w:val="en-CA" w:eastAsia="en-CA"/>
        </w:rPr>
      </w:pPr>
      <w:r>
        <w:fldChar w:fldCharType="begin"/>
      </w:r>
      <w:r>
        <w:instrText xml:space="preserve"> TOC \h \z \c "Table" </w:instrText>
      </w:r>
      <w:r>
        <w:fldChar w:fldCharType="separate"/>
      </w:r>
      <w:hyperlink w:anchor="_Toc8387219" w:history="1">
        <w:r w:rsidR="004F64F7" w:rsidRPr="000C0DC7">
          <w:rPr>
            <w:rStyle w:val="Hyperlink"/>
            <w:noProof/>
          </w:rPr>
          <w:t>Table 1. When, who, and under what condition a pregnancy can be terminated</w:t>
        </w:r>
        <w:r w:rsidR="004F64F7">
          <w:rPr>
            <w:noProof/>
            <w:webHidden/>
          </w:rPr>
          <w:tab/>
        </w:r>
        <w:r w:rsidR="004F64F7">
          <w:rPr>
            <w:noProof/>
            <w:webHidden/>
          </w:rPr>
          <w:fldChar w:fldCharType="begin"/>
        </w:r>
        <w:r w:rsidR="004F64F7">
          <w:rPr>
            <w:noProof/>
            <w:webHidden/>
          </w:rPr>
          <w:instrText xml:space="preserve"> PAGEREF _Toc8387219 \h </w:instrText>
        </w:r>
        <w:r w:rsidR="004F64F7">
          <w:rPr>
            <w:noProof/>
            <w:webHidden/>
          </w:rPr>
        </w:r>
        <w:r w:rsidR="004F64F7">
          <w:rPr>
            <w:noProof/>
            <w:webHidden/>
          </w:rPr>
          <w:fldChar w:fldCharType="separate"/>
        </w:r>
        <w:r w:rsidR="004F64F7">
          <w:rPr>
            <w:noProof/>
            <w:webHidden/>
          </w:rPr>
          <w:t>5</w:t>
        </w:r>
        <w:r w:rsidR="004F64F7">
          <w:rPr>
            <w:noProof/>
            <w:webHidden/>
          </w:rPr>
          <w:fldChar w:fldCharType="end"/>
        </w:r>
      </w:hyperlink>
    </w:p>
    <w:p w14:paraId="20CB32D2" w14:textId="408C3E8E" w:rsidR="004F64F7" w:rsidRDefault="003351E3">
      <w:pPr>
        <w:pStyle w:val="TableofFigures"/>
        <w:tabs>
          <w:tab w:val="right" w:leader="dot" w:pos="9350"/>
        </w:tabs>
        <w:rPr>
          <w:rFonts w:eastAsiaTheme="minorEastAsia"/>
          <w:noProof/>
          <w:sz w:val="24"/>
          <w:lang w:val="en-CA" w:eastAsia="en-CA"/>
        </w:rPr>
      </w:pPr>
      <w:hyperlink w:anchor="_Toc8387220" w:history="1">
        <w:r w:rsidR="004F64F7" w:rsidRPr="000C0DC7">
          <w:rPr>
            <w:rStyle w:val="Hyperlink"/>
            <w:noProof/>
          </w:rPr>
          <w:t>Table 2. Site criteria at which a pregnancy can be terminated</w:t>
        </w:r>
        <w:r w:rsidR="004F64F7">
          <w:rPr>
            <w:noProof/>
            <w:webHidden/>
          </w:rPr>
          <w:tab/>
        </w:r>
        <w:r w:rsidR="004F64F7">
          <w:rPr>
            <w:noProof/>
            <w:webHidden/>
          </w:rPr>
          <w:fldChar w:fldCharType="begin"/>
        </w:r>
        <w:r w:rsidR="004F64F7">
          <w:rPr>
            <w:noProof/>
            <w:webHidden/>
          </w:rPr>
          <w:instrText xml:space="preserve"> PAGEREF _Toc8387220 \h </w:instrText>
        </w:r>
        <w:r w:rsidR="004F64F7">
          <w:rPr>
            <w:noProof/>
            <w:webHidden/>
          </w:rPr>
        </w:r>
        <w:r w:rsidR="004F64F7">
          <w:rPr>
            <w:noProof/>
            <w:webHidden/>
          </w:rPr>
          <w:fldChar w:fldCharType="separate"/>
        </w:r>
        <w:r w:rsidR="004F64F7">
          <w:rPr>
            <w:noProof/>
            <w:webHidden/>
          </w:rPr>
          <w:t>6</w:t>
        </w:r>
        <w:r w:rsidR="004F64F7">
          <w:rPr>
            <w:noProof/>
            <w:webHidden/>
          </w:rPr>
          <w:fldChar w:fldCharType="end"/>
        </w:r>
      </w:hyperlink>
    </w:p>
    <w:p w14:paraId="2E695671" w14:textId="30F89FAD" w:rsidR="004F64F7" w:rsidRDefault="003351E3">
      <w:pPr>
        <w:pStyle w:val="TableofFigures"/>
        <w:tabs>
          <w:tab w:val="right" w:leader="dot" w:pos="9350"/>
        </w:tabs>
        <w:rPr>
          <w:rFonts w:eastAsiaTheme="minorEastAsia"/>
          <w:noProof/>
          <w:sz w:val="24"/>
          <w:lang w:val="en-CA" w:eastAsia="en-CA"/>
        </w:rPr>
      </w:pPr>
      <w:hyperlink w:anchor="_Toc8387221" w:history="1">
        <w:r w:rsidR="004F64F7" w:rsidRPr="000C0DC7">
          <w:rPr>
            <w:rStyle w:val="Hyperlink"/>
            <w:noProof/>
          </w:rPr>
          <w:t>Table 3. Types of counselling for pregnant women considering a TOP</w:t>
        </w:r>
        <w:r w:rsidR="004F64F7">
          <w:rPr>
            <w:noProof/>
            <w:webHidden/>
          </w:rPr>
          <w:tab/>
        </w:r>
        <w:r w:rsidR="004F64F7">
          <w:rPr>
            <w:noProof/>
            <w:webHidden/>
          </w:rPr>
          <w:fldChar w:fldCharType="begin"/>
        </w:r>
        <w:r w:rsidR="004F64F7">
          <w:rPr>
            <w:noProof/>
            <w:webHidden/>
          </w:rPr>
          <w:instrText xml:space="preserve"> PAGEREF _Toc8387221 \h </w:instrText>
        </w:r>
        <w:r w:rsidR="004F64F7">
          <w:rPr>
            <w:noProof/>
            <w:webHidden/>
          </w:rPr>
        </w:r>
        <w:r w:rsidR="004F64F7">
          <w:rPr>
            <w:noProof/>
            <w:webHidden/>
          </w:rPr>
          <w:fldChar w:fldCharType="separate"/>
        </w:r>
        <w:r w:rsidR="004F64F7">
          <w:rPr>
            <w:noProof/>
            <w:webHidden/>
          </w:rPr>
          <w:t>11</w:t>
        </w:r>
        <w:r w:rsidR="004F64F7">
          <w:rPr>
            <w:noProof/>
            <w:webHidden/>
          </w:rPr>
          <w:fldChar w:fldCharType="end"/>
        </w:r>
      </w:hyperlink>
    </w:p>
    <w:p w14:paraId="1A25F0B7" w14:textId="4DE0F414" w:rsidR="004F64F7" w:rsidRDefault="003351E3">
      <w:pPr>
        <w:pStyle w:val="TableofFigures"/>
        <w:tabs>
          <w:tab w:val="right" w:leader="dot" w:pos="9350"/>
        </w:tabs>
        <w:rPr>
          <w:rFonts w:eastAsiaTheme="minorEastAsia"/>
          <w:noProof/>
          <w:sz w:val="24"/>
          <w:lang w:val="en-CA" w:eastAsia="en-CA"/>
        </w:rPr>
      </w:pPr>
      <w:hyperlink w:anchor="_Toc8387222" w:history="1">
        <w:r w:rsidR="004F64F7" w:rsidRPr="000C0DC7">
          <w:rPr>
            <w:rStyle w:val="Hyperlink"/>
            <w:noProof/>
          </w:rPr>
          <w:t>Table 4. Pharmacological methods for pain management</w:t>
        </w:r>
        <w:r w:rsidR="004F64F7">
          <w:rPr>
            <w:noProof/>
            <w:webHidden/>
          </w:rPr>
          <w:tab/>
        </w:r>
        <w:r w:rsidR="004F64F7">
          <w:rPr>
            <w:noProof/>
            <w:webHidden/>
          </w:rPr>
          <w:fldChar w:fldCharType="begin"/>
        </w:r>
        <w:r w:rsidR="004F64F7">
          <w:rPr>
            <w:noProof/>
            <w:webHidden/>
          </w:rPr>
          <w:instrText xml:space="preserve"> PAGEREF _Toc8387222 \h </w:instrText>
        </w:r>
        <w:r w:rsidR="004F64F7">
          <w:rPr>
            <w:noProof/>
            <w:webHidden/>
          </w:rPr>
        </w:r>
        <w:r w:rsidR="004F64F7">
          <w:rPr>
            <w:noProof/>
            <w:webHidden/>
          </w:rPr>
          <w:fldChar w:fldCharType="separate"/>
        </w:r>
        <w:r w:rsidR="004F64F7">
          <w:rPr>
            <w:noProof/>
            <w:webHidden/>
          </w:rPr>
          <w:t>18</w:t>
        </w:r>
        <w:r w:rsidR="004F64F7">
          <w:rPr>
            <w:noProof/>
            <w:webHidden/>
          </w:rPr>
          <w:fldChar w:fldCharType="end"/>
        </w:r>
      </w:hyperlink>
    </w:p>
    <w:p w14:paraId="3C9050C8" w14:textId="21649789" w:rsidR="004F64F7" w:rsidRDefault="003351E3">
      <w:pPr>
        <w:pStyle w:val="TableofFigures"/>
        <w:tabs>
          <w:tab w:val="right" w:leader="dot" w:pos="9350"/>
        </w:tabs>
        <w:rPr>
          <w:rFonts w:eastAsiaTheme="minorEastAsia"/>
          <w:noProof/>
          <w:sz w:val="24"/>
          <w:lang w:val="en-CA" w:eastAsia="en-CA"/>
        </w:rPr>
      </w:pPr>
      <w:hyperlink w:anchor="_Toc8387223" w:history="1">
        <w:r w:rsidR="004F64F7" w:rsidRPr="000C0DC7">
          <w:rPr>
            <w:rStyle w:val="Hyperlink"/>
            <w:noProof/>
          </w:rPr>
          <w:t>Table 5. Non-pharmacological methods for pain management</w:t>
        </w:r>
        <w:r w:rsidR="004F64F7">
          <w:rPr>
            <w:noProof/>
            <w:webHidden/>
          </w:rPr>
          <w:tab/>
        </w:r>
        <w:r w:rsidR="004F64F7">
          <w:rPr>
            <w:noProof/>
            <w:webHidden/>
          </w:rPr>
          <w:fldChar w:fldCharType="begin"/>
        </w:r>
        <w:r w:rsidR="004F64F7">
          <w:rPr>
            <w:noProof/>
            <w:webHidden/>
          </w:rPr>
          <w:instrText xml:space="preserve"> PAGEREF _Toc8387223 \h </w:instrText>
        </w:r>
        <w:r w:rsidR="004F64F7">
          <w:rPr>
            <w:noProof/>
            <w:webHidden/>
          </w:rPr>
        </w:r>
        <w:r w:rsidR="004F64F7">
          <w:rPr>
            <w:noProof/>
            <w:webHidden/>
          </w:rPr>
          <w:fldChar w:fldCharType="separate"/>
        </w:r>
        <w:r w:rsidR="004F64F7">
          <w:rPr>
            <w:noProof/>
            <w:webHidden/>
          </w:rPr>
          <w:t>19</w:t>
        </w:r>
        <w:r w:rsidR="004F64F7">
          <w:rPr>
            <w:noProof/>
            <w:webHidden/>
          </w:rPr>
          <w:fldChar w:fldCharType="end"/>
        </w:r>
      </w:hyperlink>
    </w:p>
    <w:p w14:paraId="0777DA42" w14:textId="36C69013" w:rsidR="004F64F7" w:rsidRDefault="003351E3">
      <w:pPr>
        <w:pStyle w:val="TableofFigures"/>
        <w:tabs>
          <w:tab w:val="right" w:leader="dot" w:pos="9350"/>
        </w:tabs>
        <w:rPr>
          <w:rFonts w:eastAsiaTheme="minorEastAsia"/>
          <w:noProof/>
          <w:sz w:val="24"/>
          <w:lang w:val="en-CA" w:eastAsia="en-CA"/>
        </w:rPr>
      </w:pPr>
      <w:hyperlink w:anchor="_Toc8387224" w:history="1">
        <w:r w:rsidR="004F64F7" w:rsidRPr="000C0DC7">
          <w:rPr>
            <w:rStyle w:val="Hyperlink"/>
            <w:noProof/>
          </w:rPr>
          <w:t>Table 6. Combined Mifepristone and Misoprostol and Misoprostol-only protocol &lt;12 weeks + 0 days gestation</w:t>
        </w:r>
        <w:r w:rsidR="004F64F7">
          <w:rPr>
            <w:noProof/>
            <w:webHidden/>
          </w:rPr>
          <w:tab/>
        </w:r>
        <w:r w:rsidR="004F64F7">
          <w:rPr>
            <w:noProof/>
            <w:webHidden/>
          </w:rPr>
          <w:fldChar w:fldCharType="begin"/>
        </w:r>
        <w:r w:rsidR="004F64F7">
          <w:rPr>
            <w:noProof/>
            <w:webHidden/>
          </w:rPr>
          <w:instrText xml:space="preserve"> PAGEREF _Toc8387224 \h </w:instrText>
        </w:r>
        <w:r w:rsidR="004F64F7">
          <w:rPr>
            <w:noProof/>
            <w:webHidden/>
          </w:rPr>
        </w:r>
        <w:r w:rsidR="004F64F7">
          <w:rPr>
            <w:noProof/>
            <w:webHidden/>
          </w:rPr>
          <w:fldChar w:fldCharType="separate"/>
        </w:r>
        <w:r w:rsidR="004F64F7">
          <w:rPr>
            <w:noProof/>
            <w:webHidden/>
          </w:rPr>
          <w:t>21</w:t>
        </w:r>
        <w:r w:rsidR="004F64F7">
          <w:rPr>
            <w:noProof/>
            <w:webHidden/>
          </w:rPr>
          <w:fldChar w:fldCharType="end"/>
        </w:r>
      </w:hyperlink>
    </w:p>
    <w:p w14:paraId="1BFCC209" w14:textId="522CA3FD" w:rsidR="004F64F7" w:rsidRDefault="003351E3">
      <w:pPr>
        <w:pStyle w:val="TableofFigures"/>
        <w:tabs>
          <w:tab w:val="right" w:leader="dot" w:pos="9350"/>
        </w:tabs>
        <w:rPr>
          <w:rFonts w:eastAsiaTheme="minorEastAsia"/>
          <w:noProof/>
          <w:sz w:val="24"/>
          <w:lang w:val="en-CA" w:eastAsia="en-CA"/>
        </w:rPr>
      </w:pPr>
      <w:hyperlink w:anchor="_Toc8387225" w:history="1">
        <w:r w:rsidR="004F64F7" w:rsidRPr="000C0DC7">
          <w:rPr>
            <w:rStyle w:val="Hyperlink"/>
            <w:noProof/>
          </w:rPr>
          <w:t>Table 7. Combined Mifepristone and Misoprostol and Misoprostol-only protocol &gt;12 weeks + 1 day gestation</w:t>
        </w:r>
        <w:r w:rsidR="004F64F7">
          <w:rPr>
            <w:noProof/>
            <w:webHidden/>
          </w:rPr>
          <w:tab/>
        </w:r>
        <w:r w:rsidR="004F64F7">
          <w:rPr>
            <w:noProof/>
            <w:webHidden/>
          </w:rPr>
          <w:fldChar w:fldCharType="begin"/>
        </w:r>
        <w:r w:rsidR="004F64F7">
          <w:rPr>
            <w:noProof/>
            <w:webHidden/>
          </w:rPr>
          <w:instrText xml:space="preserve"> PAGEREF _Toc8387225 \h </w:instrText>
        </w:r>
        <w:r w:rsidR="004F64F7">
          <w:rPr>
            <w:noProof/>
            <w:webHidden/>
          </w:rPr>
        </w:r>
        <w:r w:rsidR="004F64F7">
          <w:rPr>
            <w:noProof/>
            <w:webHidden/>
          </w:rPr>
          <w:fldChar w:fldCharType="separate"/>
        </w:r>
        <w:r w:rsidR="004F64F7">
          <w:rPr>
            <w:noProof/>
            <w:webHidden/>
          </w:rPr>
          <w:t>22</w:t>
        </w:r>
        <w:r w:rsidR="004F64F7">
          <w:rPr>
            <w:noProof/>
            <w:webHidden/>
          </w:rPr>
          <w:fldChar w:fldCharType="end"/>
        </w:r>
      </w:hyperlink>
    </w:p>
    <w:p w14:paraId="4AACA59E" w14:textId="51435E5E" w:rsidR="004F64F7" w:rsidRDefault="003351E3">
      <w:pPr>
        <w:pStyle w:val="TableofFigures"/>
        <w:tabs>
          <w:tab w:val="right" w:leader="dot" w:pos="9350"/>
        </w:tabs>
        <w:rPr>
          <w:rFonts w:eastAsiaTheme="minorEastAsia"/>
          <w:noProof/>
          <w:sz w:val="24"/>
          <w:lang w:val="en-CA" w:eastAsia="en-CA"/>
        </w:rPr>
      </w:pPr>
      <w:hyperlink w:anchor="_Toc8387226" w:history="1">
        <w:r w:rsidR="004F64F7" w:rsidRPr="000C0DC7">
          <w:rPr>
            <w:rStyle w:val="Hyperlink"/>
            <w:noProof/>
          </w:rPr>
          <w:t>Table 8. Vacuum aspiration protocol, recommended for &lt;14 weeks + 0 days gestation</w:t>
        </w:r>
        <w:r w:rsidR="004F64F7">
          <w:rPr>
            <w:noProof/>
            <w:webHidden/>
          </w:rPr>
          <w:tab/>
        </w:r>
        <w:r w:rsidR="004F64F7">
          <w:rPr>
            <w:noProof/>
            <w:webHidden/>
          </w:rPr>
          <w:fldChar w:fldCharType="begin"/>
        </w:r>
        <w:r w:rsidR="004F64F7">
          <w:rPr>
            <w:noProof/>
            <w:webHidden/>
          </w:rPr>
          <w:instrText xml:space="preserve"> PAGEREF _Toc8387226 \h </w:instrText>
        </w:r>
        <w:r w:rsidR="004F64F7">
          <w:rPr>
            <w:noProof/>
            <w:webHidden/>
          </w:rPr>
        </w:r>
        <w:r w:rsidR="004F64F7">
          <w:rPr>
            <w:noProof/>
            <w:webHidden/>
          </w:rPr>
          <w:fldChar w:fldCharType="separate"/>
        </w:r>
        <w:r w:rsidR="004F64F7">
          <w:rPr>
            <w:noProof/>
            <w:webHidden/>
          </w:rPr>
          <w:t>24</w:t>
        </w:r>
        <w:r w:rsidR="004F64F7">
          <w:rPr>
            <w:noProof/>
            <w:webHidden/>
          </w:rPr>
          <w:fldChar w:fldCharType="end"/>
        </w:r>
      </w:hyperlink>
    </w:p>
    <w:p w14:paraId="5C5A69C6" w14:textId="42E5FE08" w:rsidR="004F64F7" w:rsidRDefault="003351E3">
      <w:pPr>
        <w:pStyle w:val="TableofFigures"/>
        <w:tabs>
          <w:tab w:val="right" w:leader="dot" w:pos="9350"/>
        </w:tabs>
        <w:rPr>
          <w:rFonts w:eastAsiaTheme="minorEastAsia"/>
          <w:noProof/>
          <w:sz w:val="24"/>
          <w:lang w:val="en-CA" w:eastAsia="en-CA"/>
        </w:rPr>
      </w:pPr>
      <w:hyperlink w:anchor="_Toc8387227" w:history="1">
        <w:r w:rsidR="004F64F7" w:rsidRPr="000C0DC7">
          <w:rPr>
            <w:rStyle w:val="Hyperlink"/>
            <w:noProof/>
          </w:rPr>
          <w:t>Table 9. Dilation and evacuation protocol, recommended for &gt;14 weeks + 1 day gestation</w:t>
        </w:r>
        <w:r w:rsidR="004F64F7">
          <w:rPr>
            <w:noProof/>
            <w:webHidden/>
          </w:rPr>
          <w:tab/>
        </w:r>
        <w:r w:rsidR="004F64F7">
          <w:rPr>
            <w:noProof/>
            <w:webHidden/>
          </w:rPr>
          <w:fldChar w:fldCharType="begin"/>
        </w:r>
        <w:r w:rsidR="004F64F7">
          <w:rPr>
            <w:noProof/>
            <w:webHidden/>
          </w:rPr>
          <w:instrText xml:space="preserve"> PAGEREF _Toc8387227 \h </w:instrText>
        </w:r>
        <w:r w:rsidR="004F64F7">
          <w:rPr>
            <w:noProof/>
            <w:webHidden/>
          </w:rPr>
        </w:r>
        <w:r w:rsidR="004F64F7">
          <w:rPr>
            <w:noProof/>
            <w:webHidden/>
          </w:rPr>
          <w:fldChar w:fldCharType="separate"/>
        </w:r>
        <w:r w:rsidR="004F64F7">
          <w:rPr>
            <w:noProof/>
            <w:webHidden/>
          </w:rPr>
          <w:t>25</w:t>
        </w:r>
        <w:r w:rsidR="004F64F7">
          <w:rPr>
            <w:noProof/>
            <w:webHidden/>
          </w:rPr>
          <w:fldChar w:fldCharType="end"/>
        </w:r>
      </w:hyperlink>
    </w:p>
    <w:p w14:paraId="1398C6CC" w14:textId="40C4F332" w:rsidR="004F64F7" w:rsidRDefault="003351E3">
      <w:pPr>
        <w:pStyle w:val="TableofFigures"/>
        <w:tabs>
          <w:tab w:val="right" w:leader="dot" w:pos="9350"/>
        </w:tabs>
        <w:rPr>
          <w:rFonts w:eastAsiaTheme="minorEastAsia"/>
          <w:noProof/>
          <w:sz w:val="24"/>
          <w:lang w:val="en-CA" w:eastAsia="en-CA"/>
        </w:rPr>
      </w:pPr>
      <w:hyperlink w:anchor="_Toc8387228" w:history="1">
        <w:r w:rsidR="004F64F7" w:rsidRPr="000C0DC7">
          <w:rPr>
            <w:rStyle w:val="Hyperlink"/>
            <w:noProof/>
          </w:rPr>
          <w:t>Table 10. Contraceptive methods and medical eligibility after TOP</w:t>
        </w:r>
        <w:r w:rsidR="004F64F7">
          <w:rPr>
            <w:noProof/>
            <w:webHidden/>
          </w:rPr>
          <w:tab/>
        </w:r>
        <w:r w:rsidR="004F64F7">
          <w:rPr>
            <w:noProof/>
            <w:webHidden/>
          </w:rPr>
          <w:fldChar w:fldCharType="begin"/>
        </w:r>
        <w:r w:rsidR="004F64F7">
          <w:rPr>
            <w:noProof/>
            <w:webHidden/>
          </w:rPr>
          <w:instrText xml:space="preserve"> PAGEREF _Toc8387228 \h </w:instrText>
        </w:r>
        <w:r w:rsidR="004F64F7">
          <w:rPr>
            <w:noProof/>
            <w:webHidden/>
          </w:rPr>
        </w:r>
        <w:r w:rsidR="004F64F7">
          <w:rPr>
            <w:noProof/>
            <w:webHidden/>
          </w:rPr>
          <w:fldChar w:fldCharType="separate"/>
        </w:r>
        <w:r w:rsidR="004F64F7">
          <w:rPr>
            <w:noProof/>
            <w:webHidden/>
          </w:rPr>
          <w:t>26</w:t>
        </w:r>
        <w:r w:rsidR="004F64F7">
          <w:rPr>
            <w:noProof/>
            <w:webHidden/>
          </w:rPr>
          <w:fldChar w:fldCharType="end"/>
        </w:r>
      </w:hyperlink>
    </w:p>
    <w:p w14:paraId="670F28DE" w14:textId="4860BE1A" w:rsidR="004F64F7" w:rsidRDefault="003351E3">
      <w:pPr>
        <w:pStyle w:val="TableofFigures"/>
        <w:tabs>
          <w:tab w:val="right" w:leader="dot" w:pos="9350"/>
        </w:tabs>
        <w:rPr>
          <w:rFonts w:eastAsiaTheme="minorEastAsia"/>
          <w:noProof/>
          <w:sz w:val="24"/>
          <w:lang w:val="en-CA" w:eastAsia="en-CA"/>
        </w:rPr>
      </w:pPr>
      <w:hyperlink w:anchor="_Toc8387229" w:history="1">
        <w:r w:rsidR="004F64F7" w:rsidRPr="000C0DC7">
          <w:rPr>
            <w:rStyle w:val="Hyperlink"/>
            <w:noProof/>
          </w:rPr>
          <w:t xml:space="preserve">Table 11. Management of incomplete TOP </w:t>
        </w:r>
        <w:r w:rsidR="004F64F7">
          <w:rPr>
            <w:noProof/>
            <w:webHidden/>
          </w:rPr>
          <w:tab/>
        </w:r>
        <w:r w:rsidR="004F64F7">
          <w:rPr>
            <w:noProof/>
            <w:webHidden/>
          </w:rPr>
          <w:fldChar w:fldCharType="begin"/>
        </w:r>
        <w:r w:rsidR="004F64F7">
          <w:rPr>
            <w:noProof/>
            <w:webHidden/>
          </w:rPr>
          <w:instrText xml:space="preserve"> PAGEREF _Toc8387229 \h </w:instrText>
        </w:r>
        <w:r w:rsidR="004F64F7">
          <w:rPr>
            <w:noProof/>
            <w:webHidden/>
          </w:rPr>
        </w:r>
        <w:r w:rsidR="004F64F7">
          <w:rPr>
            <w:noProof/>
            <w:webHidden/>
          </w:rPr>
          <w:fldChar w:fldCharType="separate"/>
        </w:r>
        <w:r w:rsidR="004F64F7">
          <w:rPr>
            <w:noProof/>
            <w:webHidden/>
          </w:rPr>
          <w:t>28</w:t>
        </w:r>
        <w:r w:rsidR="004F64F7">
          <w:rPr>
            <w:noProof/>
            <w:webHidden/>
          </w:rPr>
          <w:fldChar w:fldCharType="end"/>
        </w:r>
      </w:hyperlink>
    </w:p>
    <w:p w14:paraId="4B9FC5A8" w14:textId="7F6FEF6D" w:rsidR="004F64F7" w:rsidRDefault="003351E3">
      <w:pPr>
        <w:pStyle w:val="TableofFigures"/>
        <w:tabs>
          <w:tab w:val="right" w:leader="dot" w:pos="9350"/>
        </w:tabs>
        <w:rPr>
          <w:rFonts w:eastAsiaTheme="minorEastAsia"/>
          <w:noProof/>
          <w:sz w:val="24"/>
          <w:lang w:val="en-CA" w:eastAsia="en-CA"/>
        </w:rPr>
      </w:pPr>
      <w:hyperlink w:anchor="_Toc8387230" w:history="1">
        <w:r w:rsidR="004F64F7" w:rsidRPr="000C0DC7">
          <w:rPr>
            <w:rStyle w:val="Hyperlink"/>
            <w:noProof/>
          </w:rPr>
          <w:t>Table 11. Comparison of management options for missed and incomplete TOP</w:t>
        </w:r>
        <w:r w:rsidR="004F64F7">
          <w:rPr>
            <w:noProof/>
            <w:webHidden/>
          </w:rPr>
          <w:tab/>
        </w:r>
        <w:r w:rsidR="004F64F7">
          <w:rPr>
            <w:noProof/>
            <w:webHidden/>
          </w:rPr>
          <w:fldChar w:fldCharType="begin"/>
        </w:r>
        <w:r w:rsidR="004F64F7">
          <w:rPr>
            <w:noProof/>
            <w:webHidden/>
          </w:rPr>
          <w:instrText xml:space="preserve"> PAGEREF _Toc8387230 \h </w:instrText>
        </w:r>
        <w:r w:rsidR="004F64F7">
          <w:rPr>
            <w:noProof/>
            <w:webHidden/>
          </w:rPr>
        </w:r>
        <w:r w:rsidR="004F64F7">
          <w:rPr>
            <w:noProof/>
            <w:webHidden/>
          </w:rPr>
          <w:fldChar w:fldCharType="separate"/>
        </w:r>
        <w:r w:rsidR="004F64F7">
          <w:rPr>
            <w:noProof/>
            <w:webHidden/>
          </w:rPr>
          <w:t>29</w:t>
        </w:r>
        <w:r w:rsidR="004F64F7">
          <w:rPr>
            <w:noProof/>
            <w:webHidden/>
          </w:rPr>
          <w:fldChar w:fldCharType="end"/>
        </w:r>
      </w:hyperlink>
    </w:p>
    <w:p w14:paraId="4B6EA548" w14:textId="517378BA" w:rsidR="004F64F7" w:rsidRDefault="003351E3">
      <w:pPr>
        <w:pStyle w:val="TableofFigures"/>
        <w:tabs>
          <w:tab w:val="right" w:leader="dot" w:pos="9350"/>
        </w:tabs>
        <w:rPr>
          <w:rFonts w:eastAsiaTheme="minorEastAsia"/>
          <w:noProof/>
          <w:sz w:val="24"/>
          <w:lang w:val="en-CA" w:eastAsia="en-CA"/>
        </w:rPr>
      </w:pPr>
      <w:hyperlink w:anchor="_Toc8387231" w:history="1">
        <w:r w:rsidR="004F64F7" w:rsidRPr="000C0DC7">
          <w:rPr>
            <w:rStyle w:val="Hyperlink"/>
            <w:noProof/>
          </w:rPr>
          <w:t>Table 12. Recommended regimen of misoprostol for management of incomplete TOP for uterine size &lt;13 weeks + 0 days gestation</w:t>
        </w:r>
        <w:r w:rsidR="004F64F7">
          <w:rPr>
            <w:noProof/>
            <w:webHidden/>
          </w:rPr>
          <w:tab/>
        </w:r>
        <w:r w:rsidR="004F64F7">
          <w:rPr>
            <w:noProof/>
            <w:webHidden/>
          </w:rPr>
          <w:fldChar w:fldCharType="begin"/>
        </w:r>
        <w:r w:rsidR="004F64F7">
          <w:rPr>
            <w:noProof/>
            <w:webHidden/>
          </w:rPr>
          <w:instrText xml:space="preserve"> PAGEREF _Toc8387231 \h </w:instrText>
        </w:r>
        <w:r w:rsidR="004F64F7">
          <w:rPr>
            <w:noProof/>
            <w:webHidden/>
          </w:rPr>
        </w:r>
        <w:r w:rsidR="004F64F7">
          <w:rPr>
            <w:noProof/>
            <w:webHidden/>
          </w:rPr>
          <w:fldChar w:fldCharType="separate"/>
        </w:r>
        <w:r w:rsidR="004F64F7">
          <w:rPr>
            <w:noProof/>
            <w:webHidden/>
          </w:rPr>
          <w:t>30</w:t>
        </w:r>
        <w:r w:rsidR="004F64F7">
          <w:rPr>
            <w:noProof/>
            <w:webHidden/>
          </w:rPr>
          <w:fldChar w:fldCharType="end"/>
        </w:r>
      </w:hyperlink>
    </w:p>
    <w:p w14:paraId="64E9DA0F" w14:textId="7DA549B8" w:rsidR="00503162" w:rsidRDefault="00053B71" w:rsidP="00771FD1">
      <w:r>
        <w:fldChar w:fldCharType="end"/>
      </w:r>
    </w:p>
    <w:p w14:paraId="7EADDB7C" w14:textId="6ECA1B1B" w:rsidR="00B1479F" w:rsidRDefault="00B1479F" w:rsidP="00771FD1"/>
    <w:p w14:paraId="5A7ECCC6" w14:textId="77777777" w:rsidR="00B1479F" w:rsidRPr="00C16CE6" w:rsidRDefault="00B1479F" w:rsidP="00771FD1"/>
    <w:p w14:paraId="5898B384" w14:textId="77777777" w:rsidR="00317CFF" w:rsidRPr="00C16CE6" w:rsidRDefault="00317CFF" w:rsidP="001244A3"/>
    <w:p w14:paraId="6C483676" w14:textId="718F2705" w:rsidR="00F3252A" w:rsidRPr="00C16CE6" w:rsidRDefault="00F3252A" w:rsidP="001244A3">
      <w:pPr>
        <w:sectPr w:rsidR="00F3252A" w:rsidRPr="00C16CE6" w:rsidSect="006970B4">
          <w:pgSz w:w="12240" w:h="15840"/>
          <w:pgMar w:top="1440" w:right="1440" w:bottom="1440" w:left="1440" w:header="720" w:footer="720" w:gutter="0"/>
          <w:pgNumType w:fmt="lowerRoman"/>
          <w:cols w:space="720"/>
          <w:docGrid w:linePitch="360"/>
        </w:sectPr>
      </w:pPr>
    </w:p>
    <w:p w14:paraId="46F7E756" w14:textId="2518DDC2" w:rsidR="00A52F33" w:rsidRPr="00C16CE6" w:rsidRDefault="00A52F33" w:rsidP="001244A3">
      <w:pPr>
        <w:pStyle w:val="Heading1"/>
        <w:numPr>
          <w:ilvl w:val="0"/>
          <w:numId w:val="0"/>
        </w:numPr>
      </w:pPr>
      <w:bookmarkStart w:id="8" w:name="_Toc528572368"/>
      <w:bookmarkStart w:id="9" w:name="_Toc530407821"/>
      <w:bookmarkStart w:id="10" w:name="_Toc8387187"/>
      <w:bookmarkEnd w:id="3"/>
      <w:bookmarkEnd w:id="4"/>
      <w:bookmarkEnd w:id="5"/>
      <w:r w:rsidRPr="00C16CE6">
        <w:lastRenderedPageBreak/>
        <w:t>Acronyms</w:t>
      </w:r>
      <w:bookmarkEnd w:id="8"/>
      <w:bookmarkEnd w:id="9"/>
      <w:bookmarkEnd w:id="10"/>
    </w:p>
    <w:p w14:paraId="18C73603" w14:textId="2D6FC59E" w:rsidR="00A52F33" w:rsidRPr="00C16CE6" w:rsidRDefault="00A52F33" w:rsidP="001244A3"/>
    <w:tbl>
      <w:tblPr>
        <w:tblW w:w="9000" w:type="dxa"/>
        <w:tblCellMar>
          <w:left w:w="0" w:type="dxa"/>
          <w:right w:w="0" w:type="dxa"/>
        </w:tblCellMar>
        <w:tblLook w:val="04A0" w:firstRow="1" w:lastRow="0" w:firstColumn="1" w:lastColumn="0" w:noHBand="0" w:noVBand="1"/>
      </w:tblPr>
      <w:tblGrid>
        <w:gridCol w:w="1260"/>
        <w:gridCol w:w="7740"/>
      </w:tblGrid>
      <w:tr w:rsidR="008C46FE" w14:paraId="55669827"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4BDB4024" w14:textId="77777777" w:rsidR="008C46FE" w:rsidRDefault="008C46FE">
            <w:pPr>
              <w:spacing w:line="240" w:lineRule="auto"/>
              <w:jc w:val="both"/>
              <w:rPr>
                <w:rFonts w:ascii="Calibri" w:hAnsi="Calibri" w:cs="Calibri"/>
                <w:color w:val="000000"/>
                <w:szCs w:val="22"/>
                <w:lang w:val="en-US"/>
              </w:rPr>
            </w:pPr>
            <w:bookmarkStart w:id="11" w:name="_Toc528572369"/>
            <w:bookmarkStart w:id="12" w:name="_Toc530407822"/>
            <w:r>
              <w:rPr>
                <w:rFonts w:ascii="Calibri" w:eastAsia="Arial" w:hAnsi="Calibri" w:cs="Calibri"/>
                <w:color w:val="000000"/>
                <w:szCs w:val="22"/>
                <w:lang w:val="en-ZA"/>
              </w:rPr>
              <w:t xml:space="preserve">CTOP </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35388C2E" w14:textId="77777777" w:rsidR="008C46FE" w:rsidRDefault="008C46FE">
            <w:pPr>
              <w:rPr>
                <w:rFonts w:ascii="Calibri" w:hAnsi="Calibri" w:cs="Calibri"/>
                <w:color w:val="000000"/>
                <w:szCs w:val="22"/>
              </w:rPr>
            </w:pPr>
            <w:r>
              <w:rPr>
                <w:rFonts w:ascii="Calibri" w:eastAsia="Arial" w:hAnsi="Calibri" w:cs="Calibri"/>
                <w:color w:val="000000"/>
                <w:szCs w:val="22"/>
                <w:lang w:val="en-ZA"/>
              </w:rPr>
              <w:t>Choice on Termination of Pregnancy</w:t>
            </w:r>
          </w:p>
        </w:tc>
      </w:tr>
      <w:tr w:rsidR="008C46FE" w14:paraId="3E9961DE"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5BE7E908"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 xml:space="preserve">D&amp;E </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6AE3C214" w14:textId="77777777" w:rsidR="008C46FE" w:rsidRDefault="008C46FE">
            <w:pPr>
              <w:rPr>
                <w:rFonts w:ascii="Calibri" w:hAnsi="Calibri" w:cs="Calibri"/>
                <w:color w:val="000000"/>
                <w:szCs w:val="22"/>
              </w:rPr>
            </w:pPr>
            <w:r>
              <w:rPr>
                <w:rFonts w:ascii="Calibri" w:eastAsia="Arial" w:hAnsi="Calibri" w:cs="Calibri"/>
                <w:color w:val="000000"/>
                <w:szCs w:val="22"/>
                <w:lang w:val="en-ZA"/>
              </w:rPr>
              <w:t>Dilatation and evacuation</w:t>
            </w:r>
          </w:p>
        </w:tc>
      </w:tr>
      <w:tr w:rsidR="008C46FE" w14:paraId="2513AB13"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1D4C4B01" w14:textId="77777777" w:rsidR="008C46FE" w:rsidRDefault="008C46FE">
            <w:pPr>
              <w:jc w:val="both"/>
              <w:rPr>
                <w:rFonts w:ascii="Calibri" w:hAnsi="Calibri" w:cs="Calibri"/>
                <w:color w:val="000000"/>
                <w:szCs w:val="22"/>
              </w:rPr>
            </w:pPr>
            <w:r>
              <w:rPr>
                <w:rFonts w:ascii="Calibri" w:hAnsi="Calibri" w:cs="Calibri"/>
                <w:color w:val="000000"/>
                <w:szCs w:val="22"/>
              </w:rPr>
              <w:t>DBE</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12E63889" w14:textId="77777777" w:rsidR="008C46FE" w:rsidRDefault="008C46FE">
            <w:pPr>
              <w:rPr>
                <w:rFonts w:ascii="Calibri" w:hAnsi="Calibri" w:cs="Calibri"/>
                <w:color w:val="000000"/>
                <w:szCs w:val="22"/>
              </w:rPr>
            </w:pPr>
            <w:r>
              <w:rPr>
                <w:rFonts w:ascii="Calibri" w:hAnsi="Calibri" w:cs="Calibri"/>
                <w:color w:val="000000"/>
                <w:szCs w:val="22"/>
              </w:rPr>
              <w:t>Department of Basic Education</w:t>
            </w:r>
          </w:p>
        </w:tc>
      </w:tr>
      <w:tr w:rsidR="008C46FE" w14:paraId="4450F463"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7E96C06E" w14:textId="77777777" w:rsidR="008C46FE" w:rsidRDefault="008C46FE">
            <w:pPr>
              <w:jc w:val="both"/>
              <w:rPr>
                <w:rFonts w:ascii="Calibri" w:hAnsi="Calibri" w:cs="Calibri"/>
                <w:color w:val="000000"/>
                <w:szCs w:val="22"/>
              </w:rPr>
            </w:pPr>
            <w:r>
              <w:rPr>
                <w:rFonts w:ascii="Calibri" w:hAnsi="Calibri" w:cs="Calibri"/>
                <w:color w:val="000000"/>
                <w:szCs w:val="22"/>
              </w:rPr>
              <w:t>DHIS</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78613591" w14:textId="77777777" w:rsidR="008C46FE" w:rsidRDefault="008C46FE">
            <w:pPr>
              <w:rPr>
                <w:rFonts w:ascii="Calibri" w:hAnsi="Calibri" w:cs="Calibri"/>
                <w:color w:val="000000"/>
                <w:szCs w:val="22"/>
              </w:rPr>
            </w:pPr>
            <w:r>
              <w:rPr>
                <w:rFonts w:ascii="Calibri" w:hAnsi="Calibri" w:cs="Calibri"/>
                <w:color w:val="000000"/>
                <w:szCs w:val="22"/>
              </w:rPr>
              <w:t>District health information system</w:t>
            </w:r>
          </w:p>
        </w:tc>
      </w:tr>
      <w:tr w:rsidR="008C46FE" w14:paraId="3B7404C2"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7FE11B5D" w14:textId="567EDCA0" w:rsidR="00882288" w:rsidRDefault="00882288">
            <w:pPr>
              <w:jc w:val="both"/>
              <w:rPr>
                <w:rFonts w:ascii="Calibri" w:hAnsi="Calibri" w:cs="Calibri"/>
                <w:color w:val="000000"/>
                <w:szCs w:val="22"/>
              </w:rPr>
            </w:pPr>
            <w:r>
              <w:rPr>
                <w:rFonts w:ascii="Calibri" w:hAnsi="Calibri" w:cs="Calibri"/>
                <w:color w:val="000000"/>
                <w:szCs w:val="22"/>
              </w:rPr>
              <w:t>DoH</w:t>
            </w:r>
          </w:p>
          <w:p w14:paraId="70BC456A" w14:textId="73A79A8D" w:rsidR="008C46FE" w:rsidRDefault="008C46FE">
            <w:pPr>
              <w:jc w:val="both"/>
              <w:rPr>
                <w:rFonts w:ascii="Calibri" w:hAnsi="Calibri" w:cs="Calibri"/>
                <w:color w:val="000000"/>
                <w:szCs w:val="22"/>
              </w:rPr>
            </w:pPr>
            <w:r>
              <w:rPr>
                <w:rFonts w:ascii="Calibri" w:hAnsi="Calibri" w:cs="Calibri"/>
                <w:color w:val="000000"/>
                <w:szCs w:val="22"/>
              </w:rPr>
              <w:t>DSD</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2680862B" w14:textId="0EF8B738" w:rsidR="00882288" w:rsidRDefault="00882288">
            <w:pPr>
              <w:rPr>
                <w:rFonts w:ascii="Calibri" w:hAnsi="Calibri" w:cs="Calibri"/>
                <w:color w:val="000000"/>
                <w:szCs w:val="22"/>
              </w:rPr>
            </w:pPr>
            <w:r>
              <w:rPr>
                <w:rFonts w:ascii="Calibri" w:hAnsi="Calibri" w:cs="Calibri"/>
                <w:color w:val="000000"/>
                <w:szCs w:val="22"/>
              </w:rPr>
              <w:t xml:space="preserve">Department of Health </w:t>
            </w:r>
          </w:p>
          <w:p w14:paraId="01BFF058" w14:textId="5BE2CA87" w:rsidR="008C46FE" w:rsidRDefault="008C46FE">
            <w:pPr>
              <w:rPr>
                <w:rFonts w:ascii="Calibri" w:hAnsi="Calibri" w:cs="Calibri"/>
                <w:color w:val="000000"/>
                <w:szCs w:val="22"/>
              </w:rPr>
            </w:pPr>
            <w:r>
              <w:rPr>
                <w:rFonts w:ascii="Calibri" w:hAnsi="Calibri" w:cs="Calibri"/>
                <w:color w:val="000000"/>
                <w:szCs w:val="22"/>
              </w:rPr>
              <w:t>Department of Social Development</w:t>
            </w:r>
          </w:p>
        </w:tc>
      </w:tr>
      <w:tr w:rsidR="008C46FE" w14:paraId="0A9DBD63"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6CE7676F"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EVA</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0477FFD2" w14:textId="77777777" w:rsidR="008C46FE" w:rsidRDefault="008C46FE">
            <w:pPr>
              <w:rPr>
                <w:rFonts w:ascii="Calibri" w:hAnsi="Calibri" w:cs="Calibri"/>
                <w:color w:val="000000"/>
                <w:szCs w:val="22"/>
              </w:rPr>
            </w:pPr>
            <w:r>
              <w:rPr>
                <w:rFonts w:ascii="Calibri" w:eastAsia="Arial" w:hAnsi="Calibri" w:cs="Calibri"/>
                <w:color w:val="000000"/>
                <w:szCs w:val="22"/>
                <w:lang w:val="en-ZA"/>
              </w:rPr>
              <w:t>Electric vacuum aspiration</w:t>
            </w:r>
          </w:p>
        </w:tc>
      </w:tr>
      <w:tr w:rsidR="008C46FE" w14:paraId="732EB662"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607724E0" w14:textId="77777777" w:rsidR="008C46FE" w:rsidRDefault="008C46FE">
            <w:pPr>
              <w:jc w:val="both"/>
              <w:rPr>
                <w:rFonts w:ascii="Calibri" w:hAnsi="Calibri" w:cs="Calibri"/>
                <w:color w:val="000000"/>
                <w:szCs w:val="22"/>
              </w:rPr>
            </w:pPr>
            <w:r>
              <w:rPr>
                <w:rFonts w:ascii="Calibri" w:hAnsi="Calibri" w:cs="Calibri"/>
                <w:color w:val="000000"/>
                <w:szCs w:val="22"/>
              </w:rPr>
              <w:t>Hb</w:t>
            </w:r>
          </w:p>
        </w:tc>
        <w:tc>
          <w:tcPr>
            <w:tcW w:w="7740" w:type="dxa"/>
            <w:tcBorders>
              <w:top w:val="nil"/>
              <w:left w:val="nil"/>
              <w:bottom w:val="nil"/>
              <w:right w:val="nil"/>
            </w:tcBorders>
            <w:shd w:val="clear" w:color="auto" w:fill="auto"/>
            <w:noWrap/>
            <w:tcMar>
              <w:top w:w="15" w:type="dxa"/>
              <w:left w:w="15" w:type="dxa"/>
              <w:bottom w:w="0" w:type="dxa"/>
              <w:right w:w="15" w:type="dxa"/>
            </w:tcMar>
            <w:vAlign w:val="bottom"/>
            <w:hideMark/>
          </w:tcPr>
          <w:p w14:paraId="55CEA221" w14:textId="77777777" w:rsidR="008C46FE" w:rsidRDefault="008C46FE">
            <w:pPr>
              <w:rPr>
                <w:rFonts w:ascii="Calibri" w:hAnsi="Calibri" w:cs="Calibri"/>
                <w:color w:val="000000"/>
                <w:szCs w:val="22"/>
              </w:rPr>
            </w:pPr>
            <w:r>
              <w:rPr>
                <w:rFonts w:ascii="Calibri" w:hAnsi="Calibri" w:cs="Calibri"/>
                <w:color w:val="000000"/>
                <w:szCs w:val="22"/>
                <w:lang w:val="en-ZA"/>
              </w:rPr>
              <w:t xml:space="preserve">Haemoglobin </w:t>
            </w:r>
          </w:p>
        </w:tc>
      </w:tr>
      <w:tr w:rsidR="008C46FE" w14:paraId="7E44356B"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6217CB1B" w14:textId="77777777" w:rsidR="008C46FE" w:rsidRDefault="008C46FE">
            <w:pPr>
              <w:jc w:val="both"/>
              <w:rPr>
                <w:rFonts w:ascii="Calibri" w:hAnsi="Calibri" w:cs="Calibri"/>
                <w:color w:val="000000"/>
                <w:szCs w:val="22"/>
              </w:rPr>
            </w:pPr>
            <w:r>
              <w:rPr>
                <w:rFonts w:ascii="Calibri" w:hAnsi="Calibri" w:cs="Calibri"/>
                <w:color w:val="000000"/>
                <w:szCs w:val="22"/>
              </w:rPr>
              <w:t>hCG</w:t>
            </w:r>
          </w:p>
        </w:tc>
        <w:tc>
          <w:tcPr>
            <w:tcW w:w="7740" w:type="dxa"/>
            <w:tcBorders>
              <w:top w:val="nil"/>
              <w:left w:val="nil"/>
              <w:bottom w:val="nil"/>
              <w:right w:val="nil"/>
            </w:tcBorders>
            <w:shd w:val="clear" w:color="auto" w:fill="auto"/>
            <w:noWrap/>
            <w:tcMar>
              <w:top w:w="15" w:type="dxa"/>
              <w:left w:w="15" w:type="dxa"/>
              <w:bottom w:w="0" w:type="dxa"/>
              <w:right w:w="15" w:type="dxa"/>
            </w:tcMar>
            <w:vAlign w:val="bottom"/>
            <w:hideMark/>
          </w:tcPr>
          <w:p w14:paraId="45D7AE3D" w14:textId="77777777" w:rsidR="008C46FE" w:rsidRDefault="008C46FE">
            <w:pPr>
              <w:rPr>
                <w:rFonts w:ascii="Calibri" w:hAnsi="Calibri" w:cs="Calibri"/>
                <w:color w:val="000000"/>
                <w:szCs w:val="22"/>
              </w:rPr>
            </w:pPr>
            <w:r>
              <w:rPr>
                <w:rFonts w:ascii="Calibri" w:hAnsi="Calibri" w:cs="Calibri"/>
                <w:color w:val="000000"/>
                <w:szCs w:val="22"/>
              </w:rPr>
              <w:t>Human chorionic gonadotrophin</w:t>
            </w:r>
          </w:p>
        </w:tc>
      </w:tr>
      <w:tr w:rsidR="008C46FE" w14:paraId="30CF1353"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19C25338"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HIV</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4EFF3CDF" w14:textId="77777777" w:rsidR="008C46FE" w:rsidRDefault="008C46FE">
            <w:pPr>
              <w:rPr>
                <w:rFonts w:ascii="Calibri" w:hAnsi="Calibri" w:cs="Calibri"/>
                <w:color w:val="000000"/>
                <w:szCs w:val="22"/>
              </w:rPr>
            </w:pPr>
            <w:r>
              <w:rPr>
                <w:rFonts w:ascii="Calibri" w:eastAsia="Arial" w:hAnsi="Calibri" w:cs="Calibri"/>
                <w:color w:val="000000"/>
                <w:szCs w:val="22"/>
                <w:lang w:val="en-ZA"/>
              </w:rPr>
              <w:t>Human Immunodeficiency Virus</w:t>
            </w:r>
          </w:p>
        </w:tc>
      </w:tr>
      <w:tr w:rsidR="008C46FE" w14:paraId="17E7368D"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1325289A" w14:textId="77777777" w:rsidR="008C46FE" w:rsidRDefault="008C46FE">
            <w:pPr>
              <w:jc w:val="both"/>
              <w:rPr>
                <w:rFonts w:ascii="Calibri" w:hAnsi="Calibri" w:cs="Calibri"/>
                <w:color w:val="000000"/>
                <w:szCs w:val="22"/>
              </w:rPr>
            </w:pPr>
            <w:r>
              <w:rPr>
                <w:rFonts w:ascii="Calibri" w:hAnsi="Calibri" w:cs="Calibri"/>
                <w:color w:val="000000"/>
                <w:szCs w:val="22"/>
              </w:rPr>
              <w:t>ICD</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1393606F" w14:textId="77777777" w:rsidR="008C46FE" w:rsidRDefault="008C46FE">
            <w:pPr>
              <w:rPr>
                <w:rFonts w:ascii="Calibri" w:hAnsi="Calibri" w:cs="Calibri"/>
                <w:color w:val="000000"/>
                <w:szCs w:val="22"/>
              </w:rPr>
            </w:pPr>
            <w:r>
              <w:rPr>
                <w:rFonts w:ascii="Calibri" w:hAnsi="Calibri" w:cs="Calibri"/>
                <w:color w:val="000000"/>
                <w:szCs w:val="22"/>
              </w:rPr>
              <w:t xml:space="preserve">International statistical classification of diseases </w:t>
            </w:r>
          </w:p>
        </w:tc>
      </w:tr>
      <w:tr w:rsidR="008C46FE" w14:paraId="04AB92A3"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1C2489DB" w14:textId="77777777" w:rsidR="008C46FE" w:rsidRDefault="008C46FE">
            <w:pPr>
              <w:jc w:val="both"/>
              <w:rPr>
                <w:rFonts w:ascii="Calibri" w:hAnsi="Calibri" w:cs="Calibri"/>
                <w:color w:val="000000"/>
                <w:szCs w:val="22"/>
              </w:rPr>
            </w:pPr>
            <w:r>
              <w:rPr>
                <w:rFonts w:ascii="Calibri" w:hAnsi="Calibri" w:cs="Calibri"/>
                <w:color w:val="000000"/>
                <w:szCs w:val="22"/>
              </w:rPr>
              <w:t>ICPD</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40C946BD" w14:textId="77777777" w:rsidR="008C46FE" w:rsidRDefault="008C46FE">
            <w:pPr>
              <w:rPr>
                <w:rFonts w:ascii="Calibri" w:hAnsi="Calibri" w:cs="Calibri"/>
                <w:color w:val="000000"/>
                <w:szCs w:val="22"/>
              </w:rPr>
            </w:pPr>
            <w:r>
              <w:rPr>
                <w:rFonts w:ascii="Calibri" w:hAnsi="Calibri" w:cs="Calibri"/>
                <w:color w:val="000000"/>
                <w:szCs w:val="22"/>
              </w:rPr>
              <w:t xml:space="preserve">International Conference on Population and Development </w:t>
            </w:r>
          </w:p>
        </w:tc>
      </w:tr>
      <w:tr w:rsidR="008C46FE" w14:paraId="7B6E5ACE"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45251FC0" w14:textId="77777777" w:rsidR="008C46FE" w:rsidRDefault="008C46FE">
            <w:pPr>
              <w:jc w:val="both"/>
              <w:rPr>
                <w:rFonts w:ascii="Calibri" w:hAnsi="Calibri" w:cs="Calibri"/>
                <w:color w:val="000000"/>
                <w:szCs w:val="22"/>
              </w:rPr>
            </w:pPr>
            <w:r>
              <w:rPr>
                <w:rFonts w:ascii="Calibri" w:hAnsi="Calibri" w:cs="Calibri"/>
                <w:color w:val="000000"/>
                <w:szCs w:val="22"/>
              </w:rPr>
              <w:t>IM</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3C3FECDB" w14:textId="77777777" w:rsidR="008C46FE" w:rsidRDefault="008C46FE">
            <w:pPr>
              <w:rPr>
                <w:rFonts w:ascii="Calibri" w:hAnsi="Calibri" w:cs="Calibri"/>
                <w:color w:val="000000"/>
                <w:szCs w:val="22"/>
              </w:rPr>
            </w:pPr>
            <w:r>
              <w:rPr>
                <w:rFonts w:ascii="Calibri" w:hAnsi="Calibri" w:cs="Calibri"/>
                <w:color w:val="000000"/>
                <w:szCs w:val="22"/>
              </w:rPr>
              <w:t>Intramuscular</w:t>
            </w:r>
          </w:p>
        </w:tc>
      </w:tr>
      <w:tr w:rsidR="008C46FE" w14:paraId="57200E45"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539E9B74"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IUD</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06BE8C7B" w14:textId="77777777" w:rsidR="008C46FE" w:rsidRDefault="008C46FE">
            <w:pPr>
              <w:rPr>
                <w:rFonts w:ascii="Calibri" w:hAnsi="Calibri" w:cs="Calibri"/>
                <w:color w:val="000000"/>
                <w:szCs w:val="22"/>
              </w:rPr>
            </w:pPr>
            <w:r>
              <w:rPr>
                <w:rFonts w:ascii="Calibri" w:eastAsia="Arial" w:hAnsi="Calibri" w:cs="Calibri"/>
                <w:color w:val="000000"/>
                <w:szCs w:val="22"/>
                <w:lang w:val="en-ZA"/>
              </w:rPr>
              <w:t>Intra uterine device</w:t>
            </w:r>
          </w:p>
        </w:tc>
      </w:tr>
      <w:tr w:rsidR="008C46FE" w14:paraId="353F95FF"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03D040C4" w14:textId="77777777" w:rsidR="008C46FE" w:rsidRDefault="008C46FE">
            <w:pPr>
              <w:jc w:val="both"/>
              <w:rPr>
                <w:rFonts w:ascii="Calibri" w:hAnsi="Calibri" w:cs="Calibri"/>
                <w:color w:val="000000"/>
                <w:szCs w:val="22"/>
              </w:rPr>
            </w:pPr>
            <w:r>
              <w:rPr>
                <w:rFonts w:ascii="Calibri" w:hAnsi="Calibri" w:cs="Calibri"/>
                <w:color w:val="000000"/>
                <w:szCs w:val="22"/>
              </w:rPr>
              <w:t>IV</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67514E8E" w14:textId="77777777" w:rsidR="008C46FE" w:rsidRDefault="008C46FE">
            <w:pPr>
              <w:rPr>
                <w:rFonts w:ascii="Calibri" w:hAnsi="Calibri" w:cs="Calibri"/>
                <w:color w:val="000000"/>
                <w:szCs w:val="22"/>
              </w:rPr>
            </w:pPr>
            <w:r>
              <w:rPr>
                <w:rFonts w:ascii="Calibri" w:hAnsi="Calibri" w:cs="Calibri"/>
                <w:color w:val="000000"/>
                <w:szCs w:val="22"/>
              </w:rPr>
              <w:t>Intravenous</w:t>
            </w:r>
          </w:p>
        </w:tc>
      </w:tr>
      <w:tr w:rsidR="008C46FE" w14:paraId="422E8B75"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636A2D81"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 xml:space="preserve">LMP </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7B608DD8" w14:textId="77777777" w:rsidR="008C46FE" w:rsidRDefault="008C46FE">
            <w:pPr>
              <w:rPr>
                <w:rFonts w:ascii="Calibri" w:hAnsi="Calibri" w:cs="Calibri"/>
                <w:color w:val="000000"/>
                <w:szCs w:val="22"/>
              </w:rPr>
            </w:pPr>
            <w:r>
              <w:rPr>
                <w:rFonts w:ascii="Calibri" w:eastAsia="Arial" w:hAnsi="Calibri" w:cs="Calibri"/>
                <w:color w:val="000000"/>
                <w:szCs w:val="22"/>
                <w:lang w:val="en-ZA"/>
              </w:rPr>
              <w:t>Last menstrual period</w:t>
            </w:r>
          </w:p>
        </w:tc>
      </w:tr>
      <w:tr w:rsidR="008C46FE" w14:paraId="00C180EA"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0EA8E83D" w14:textId="77777777" w:rsidR="008C46FE" w:rsidRDefault="008C46FE">
            <w:pPr>
              <w:jc w:val="both"/>
              <w:rPr>
                <w:rFonts w:ascii="Calibri" w:hAnsi="Calibri" w:cs="Calibri"/>
                <w:color w:val="000000"/>
                <w:szCs w:val="22"/>
              </w:rPr>
            </w:pPr>
            <w:r>
              <w:rPr>
                <w:rFonts w:ascii="Calibri" w:hAnsi="Calibri" w:cs="Calibri"/>
                <w:color w:val="000000"/>
                <w:szCs w:val="22"/>
              </w:rPr>
              <w:t>MNCWH</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00E232BF" w14:textId="77777777" w:rsidR="008C46FE" w:rsidRDefault="008C46FE">
            <w:pPr>
              <w:rPr>
                <w:rFonts w:ascii="Calibri" w:hAnsi="Calibri" w:cs="Calibri"/>
                <w:color w:val="000000"/>
                <w:szCs w:val="22"/>
              </w:rPr>
            </w:pPr>
            <w:r>
              <w:rPr>
                <w:rFonts w:ascii="Calibri" w:hAnsi="Calibri" w:cs="Calibri"/>
                <w:color w:val="000000"/>
                <w:szCs w:val="22"/>
              </w:rPr>
              <w:t>Maternal, neonatal, child, and women health</w:t>
            </w:r>
          </w:p>
        </w:tc>
      </w:tr>
      <w:tr w:rsidR="008C46FE" w14:paraId="7D7A6402"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1A7B34FA"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 xml:space="preserve">MVA </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03AC20FE" w14:textId="77777777" w:rsidR="008C46FE" w:rsidRDefault="008C46FE">
            <w:pPr>
              <w:rPr>
                <w:rFonts w:ascii="Calibri" w:hAnsi="Calibri" w:cs="Calibri"/>
                <w:color w:val="000000"/>
                <w:szCs w:val="22"/>
              </w:rPr>
            </w:pPr>
            <w:r>
              <w:rPr>
                <w:rFonts w:ascii="Calibri" w:eastAsia="Arial" w:hAnsi="Calibri" w:cs="Calibri"/>
                <w:color w:val="000000"/>
                <w:szCs w:val="22"/>
                <w:lang w:val="en-ZA"/>
              </w:rPr>
              <w:t>Manual vacuum aspiration</w:t>
            </w:r>
          </w:p>
        </w:tc>
      </w:tr>
      <w:tr w:rsidR="008C46FE" w14:paraId="6A4BB6FE"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5B5B9DF8"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 xml:space="preserve">M&amp;E </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64C81147" w14:textId="77777777" w:rsidR="008C46FE" w:rsidRDefault="008C46FE">
            <w:pPr>
              <w:rPr>
                <w:rFonts w:ascii="Calibri" w:hAnsi="Calibri" w:cs="Calibri"/>
                <w:color w:val="000000"/>
                <w:szCs w:val="22"/>
              </w:rPr>
            </w:pPr>
            <w:r>
              <w:rPr>
                <w:rFonts w:ascii="Calibri" w:eastAsia="Arial" w:hAnsi="Calibri" w:cs="Calibri"/>
                <w:color w:val="000000"/>
                <w:szCs w:val="22"/>
                <w:lang w:val="en-ZA"/>
              </w:rPr>
              <w:t>Monitoring and evaluation</w:t>
            </w:r>
          </w:p>
        </w:tc>
      </w:tr>
      <w:tr w:rsidR="008C46FE" w14:paraId="62ABD25E"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75B8252F"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NSAIDs</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34776008" w14:textId="77777777" w:rsidR="008C46FE" w:rsidRDefault="008C46FE">
            <w:pPr>
              <w:rPr>
                <w:rFonts w:ascii="Calibri" w:hAnsi="Calibri" w:cs="Calibri"/>
                <w:color w:val="000000"/>
                <w:szCs w:val="22"/>
              </w:rPr>
            </w:pPr>
            <w:r>
              <w:rPr>
                <w:rFonts w:ascii="Calibri" w:hAnsi="Calibri" w:cs="Calibri"/>
                <w:color w:val="000000"/>
                <w:szCs w:val="22"/>
                <w:lang w:val="en-ZA"/>
              </w:rPr>
              <w:t>Non-steroidal anti-inflammatory drugs</w:t>
            </w:r>
          </w:p>
        </w:tc>
      </w:tr>
      <w:tr w:rsidR="008C46FE" w14:paraId="20FCCC09"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74B25A94" w14:textId="77777777" w:rsidR="008C46FE" w:rsidRDefault="008C46FE">
            <w:pPr>
              <w:jc w:val="both"/>
              <w:rPr>
                <w:rFonts w:ascii="Calibri" w:hAnsi="Calibri" w:cs="Calibri"/>
                <w:color w:val="000000"/>
                <w:szCs w:val="22"/>
              </w:rPr>
            </w:pPr>
            <w:r>
              <w:rPr>
                <w:rFonts w:ascii="Calibri" w:hAnsi="Calibri" w:cs="Calibri"/>
                <w:color w:val="000000"/>
                <w:szCs w:val="22"/>
              </w:rPr>
              <w:t>POC</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7949D852" w14:textId="77777777" w:rsidR="008C46FE" w:rsidRDefault="008C46FE">
            <w:pPr>
              <w:rPr>
                <w:rFonts w:ascii="Calibri" w:hAnsi="Calibri" w:cs="Calibri"/>
                <w:color w:val="000000"/>
                <w:szCs w:val="22"/>
              </w:rPr>
            </w:pPr>
            <w:r>
              <w:rPr>
                <w:rFonts w:ascii="Calibri" w:hAnsi="Calibri" w:cs="Calibri"/>
                <w:color w:val="000000"/>
                <w:szCs w:val="22"/>
              </w:rPr>
              <w:t>Products of conception</w:t>
            </w:r>
          </w:p>
        </w:tc>
      </w:tr>
      <w:tr w:rsidR="008C46FE" w14:paraId="673DDA9F"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1D2C2DB1"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PPH</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42E1B086" w14:textId="77777777" w:rsidR="008C46FE" w:rsidRDefault="008C46FE">
            <w:pPr>
              <w:rPr>
                <w:rFonts w:ascii="Calibri" w:hAnsi="Calibri" w:cs="Calibri"/>
                <w:color w:val="000000"/>
                <w:szCs w:val="22"/>
              </w:rPr>
            </w:pPr>
            <w:r>
              <w:rPr>
                <w:rFonts w:ascii="Calibri" w:eastAsia="Arial" w:hAnsi="Calibri" w:cs="Calibri"/>
                <w:color w:val="000000"/>
                <w:szCs w:val="22"/>
                <w:lang w:val="en-ZA"/>
              </w:rPr>
              <w:t>Postpartum haemorrhage</w:t>
            </w:r>
          </w:p>
        </w:tc>
      </w:tr>
      <w:tr w:rsidR="008C46FE" w14:paraId="285931A8"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4AF8ECB6" w14:textId="77777777" w:rsidR="008C46FE" w:rsidRDefault="008C46FE">
            <w:pPr>
              <w:jc w:val="both"/>
              <w:rPr>
                <w:rFonts w:ascii="Calibri" w:hAnsi="Calibri" w:cs="Calibri"/>
                <w:color w:val="000000"/>
                <w:szCs w:val="22"/>
              </w:rPr>
            </w:pPr>
            <w:r>
              <w:rPr>
                <w:rFonts w:ascii="Calibri" w:hAnsi="Calibri" w:cs="Calibri"/>
                <w:color w:val="000000"/>
                <w:szCs w:val="22"/>
              </w:rPr>
              <w:t>Rh</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4A9DF1FC" w14:textId="77777777" w:rsidR="008C46FE" w:rsidRDefault="008C46FE">
            <w:pPr>
              <w:rPr>
                <w:rFonts w:ascii="Calibri" w:hAnsi="Calibri" w:cs="Calibri"/>
                <w:color w:val="000000"/>
                <w:szCs w:val="22"/>
              </w:rPr>
            </w:pPr>
            <w:r>
              <w:rPr>
                <w:rFonts w:ascii="Calibri" w:hAnsi="Calibri" w:cs="Calibri"/>
                <w:color w:val="000000"/>
                <w:szCs w:val="22"/>
              </w:rPr>
              <w:t>Rhesus</w:t>
            </w:r>
          </w:p>
        </w:tc>
      </w:tr>
      <w:tr w:rsidR="008C46FE" w14:paraId="1C8BCB35"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00D2BD19" w14:textId="77777777" w:rsidR="008C46FE" w:rsidRDefault="008C46FE">
            <w:pPr>
              <w:jc w:val="both"/>
              <w:rPr>
                <w:rFonts w:ascii="Calibri" w:hAnsi="Calibri" w:cs="Calibri"/>
                <w:color w:val="000000"/>
                <w:szCs w:val="22"/>
              </w:rPr>
            </w:pPr>
            <w:r>
              <w:rPr>
                <w:rFonts w:ascii="Calibri" w:hAnsi="Calibri" w:cs="Calibri"/>
                <w:color w:val="000000"/>
                <w:szCs w:val="22"/>
              </w:rPr>
              <w:t>SGBV</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2FAD0B00" w14:textId="7A38499E" w:rsidR="008C46FE" w:rsidRDefault="009755CB">
            <w:pPr>
              <w:rPr>
                <w:rFonts w:ascii="Calibri" w:hAnsi="Calibri" w:cs="Calibri"/>
                <w:color w:val="000000"/>
                <w:szCs w:val="22"/>
              </w:rPr>
            </w:pPr>
            <w:r>
              <w:rPr>
                <w:rFonts w:ascii="Calibri" w:hAnsi="Calibri" w:cs="Calibri"/>
                <w:color w:val="000000"/>
                <w:szCs w:val="22"/>
              </w:rPr>
              <w:t>Sexual and gender-</w:t>
            </w:r>
            <w:r w:rsidR="008C46FE">
              <w:rPr>
                <w:rFonts w:ascii="Calibri" w:hAnsi="Calibri" w:cs="Calibri"/>
                <w:color w:val="000000"/>
                <w:szCs w:val="22"/>
              </w:rPr>
              <w:t>based violence</w:t>
            </w:r>
          </w:p>
        </w:tc>
      </w:tr>
      <w:tr w:rsidR="008C46FE" w14:paraId="3A7CE927"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39FF64D1" w14:textId="338BB74D" w:rsidR="008C46FE" w:rsidRDefault="008C46FE">
            <w:pPr>
              <w:jc w:val="both"/>
              <w:rPr>
                <w:rFonts w:ascii="Calibri" w:hAnsi="Calibri" w:cs="Calibri"/>
                <w:color w:val="000000"/>
                <w:szCs w:val="22"/>
              </w:rPr>
            </w:pPr>
            <w:r>
              <w:rPr>
                <w:rFonts w:ascii="Calibri" w:hAnsi="Calibri" w:cs="Calibri"/>
                <w:color w:val="000000"/>
                <w:szCs w:val="22"/>
              </w:rPr>
              <w:t>SRH</w:t>
            </w:r>
            <w:r w:rsidR="00B20FED">
              <w:rPr>
                <w:rFonts w:ascii="Calibri" w:hAnsi="Calibri" w:cs="Calibri"/>
                <w:color w:val="000000"/>
                <w:szCs w:val="22"/>
              </w:rPr>
              <w:t>&amp;</w:t>
            </w:r>
            <w:r>
              <w:rPr>
                <w:rFonts w:ascii="Calibri" w:hAnsi="Calibri" w:cs="Calibri"/>
                <w:color w:val="000000"/>
                <w:szCs w:val="22"/>
              </w:rPr>
              <w:t>R</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15CB7CBC" w14:textId="77777777" w:rsidR="008C46FE" w:rsidRDefault="008C46FE">
            <w:pPr>
              <w:rPr>
                <w:rFonts w:ascii="Calibri" w:hAnsi="Calibri" w:cs="Calibri"/>
                <w:color w:val="000000"/>
                <w:szCs w:val="22"/>
              </w:rPr>
            </w:pPr>
            <w:r>
              <w:rPr>
                <w:rFonts w:ascii="Calibri" w:hAnsi="Calibri" w:cs="Calibri"/>
                <w:color w:val="000000"/>
                <w:szCs w:val="22"/>
              </w:rPr>
              <w:t>Sexual and reproductive health and rights</w:t>
            </w:r>
          </w:p>
        </w:tc>
      </w:tr>
      <w:tr w:rsidR="008C46FE" w14:paraId="3B938F5F"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65094120"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 xml:space="preserve">STI </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2F145F2A" w14:textId="77777777" w:rsidR="008C46FE" w:rsidRDefault="008C46FE">
            <w:pPr>
              <w:rPr>
                <w:rFonts w:ascii="Calibri" w:hAnsi="Calibri" w:cs="Calibri"/>
                <w:color w:val="000000"/>
                <w:szCs w:val="22"/>
              </w:rPr>
            </w:pPr>
            <w:r>
              <w:rPr>
                <w:rFonts w:ascii="Calibri" w:eastAsia="Arial" w:hAnsi="Calibri" w:cs="Calibri"/>
                <w:color w:val="000000"/>
                <w:szCs w:val="22"/>
                <w:lang w:val="en-ZA"/>
              </w:rPr>
              <w:t>Sexually transmitted infection</w:t>
            </w:r>
          </w:p>
        </w:tc>
      </w:tr>
      <w:tr w:rsidR="008C46FE" w14:paraId="539EA92D"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26F0036F" w14:textId="77777777" w:rsidR="008C46FE" w:rsidRDefault="008C46FE">
            <w:pPr>
              <w:jc w:val="both"/>
              <w:rPr>
                <w:rFonts w:ascii="Calibri" w:hAnsi="Calibri" w:cs="Calibri"/>
                <w:color w:val="000000"/>
                <w:szCs w:val="22"/>
              </w:rPr>
            </w:pPr>
            <w:r>
              <w:rPr>
                <w:rFonts w:ascii="Calibri" w:eastAsia="Arial" w:hAnsi="Calibri" w:cs="Calibri"/>
                <w:color w:val="000000"/>
                <w:szCs w:val="22"/>
                <w:lang w:val="en-ZA"/>
              </w:rPr>
              <w:t>TOP</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60C07D95" w14:textId="77777777" w:rsidR="008C46FE" w:rsidRDefault="008C46FE">
            <w:pPr>
              <w:rPr>
                <w:rFonts w:ascii="Calibri" w:hAnsi="Calibri" w:cs="Calibri"/>
                <w:color w:val="000000"/>
                <w:szCs w:val="22"/>
              </w:rPr>
            </w:pPr>
            <w:r>
              <w:rPr>
                <w:rFonts w:ascii="Calibri" w:eastAsia="Arial" w:hAnsi="Calibri" w:cs="Calibri"/>
                <w:color w:val="000000"/>
                <w:szCs w:val="22"/>
                <w:lang w:val="en-ZA"/>
              </w:rPr>
              <w:t>Termination of pregnancy</w:t>
            </w:r>
          </w:p>
        </w:tc>
      </w:tr>
      <w:tr w:rsidR="008C46FE" w14:paraId="0E100FB8" w14:textId="77777777" w:rsidTr="008C46FE">
        <w:trPr>
          <w:trHeight w:val="320"/>
        </w:trPr>
        <w:tc>
          <w:tcPr>
            <w:tcW w:w="1260" w:type="dxa"/>
            <w:tcBorders>
              <w:top w:val="nil"/>
              <w:left w:val="nil"/>
              <w:bottom w:val="nil"/>
              <w:right w:val="nil"/>
            </w:tcBorders>
            <w:shd w:val="clear" w:color="auto" w:fill="auto"/>
            <w:noWrap/>
            <w:tcMar>
              <w:top w:w="15" w:type="dxa"/>
              <w:left w:w="15" w:type="dxa"/>
              <w:bottom w:w="0" w:type="dxa"/>
              <w:right w:w="15" w:type="dxa"/>
            </w:tcMar>
            <w:hideMark/>
          </w:tcPr>
          <w:p w14:paraId="08CCFA58" w14:textId="77777777" w:rsidR="008C46FE" w:rsidRDefault="008C46FE">
            <w:pPr>
              <w:jc w:val="both"/>
              <w:rPr>
                <w:rFonts w:ascii="Calibri" w:hAnsi="Calibri" w:cs="Calibri"/>
                <w:color w:val="000000"/>
                <w:szCs w:val="22"/>
              </w:rPr>
            </w:pPr>
            <w:r>
              <w:rPr>
                <w:rFonts w:ascii="Calibri" w:hAnsi="Calibri" w:cs="Calibri"/>
                <w:color w:val="000000"/>
                <w:szCs w:val="22"/>
                <w:lang w:val="en-ZA"/>
              </w:rPr>
              <w:t>WHO</w:t>
            </w:r>
          </w:p>
        </w:tc>
        <w:tc>
          <w:tcPr>
            <w:tcW w:w="7740" w:type="dxa"/>
            <w:tcBorders>
              <w:top w:val="nil"/>
              <w:left w:val="nil"/>
              <w:bottom w:val="nil"/>
              <w:right w:val="nil"/>
            </w:tcBorders>
            <w:shd w:val="clear" w:color="auto" w:fill="auto"/>
            <w:noWrap/>
            <w:tcMar>
              <w:top w:w="15" w:type="dxa"/>
              <w:left w:w="15" w:type="dxa"/>
              <w:bottom w:w="0" w:type="dxa"/>
              <w:right w:w="15" w:type="dxa"/>
            </w:tcMar>
            <w:hideMark/>
          </w:tcPr>
          <w:p w14:paraId="3AACB106" w14:textId="77777777" w:rsidR="008C46FE" w:rsidRDefault="008C46FE">
            <w:pPr>
              <w:rPr>
                <w:rFonts w:ascii="Calibri" w:hAnsi="Calibri" w:cs="Calibri"/>
                <w:color w:val="000000"/>
                <w:szCs w:val="22"/>
              </w:rPr>
            </w:pPr>
            <w:r>
              <w:rPr>
                <w:rFonts w:ascii="Calibri" w:hAnsi="Calibri" w:cs="Calibri"/>
                <w:color w:val="000000"/>
                <w:szCs w:val="22"/>
                <w:lang w:val="en-ZA"/>
              </w:rPr>
              <w:t>World Health Organization</w:t>
            </w:r>
          </w:p>
        </w:tc>
      </w:tr>
    </w:tbl>
    <w:p w14:paraId="0C322F74" w14:textId="1937C5D6" w:rsidR="00457872" w:rsidRDefault="008C46FE">
      <w:pPr>
        <w:spacing w:line="240" w:lineRule="auto"/>
        <w:rPr>
          <w:rFonts w:eastAsiaTheme="majorEastAsia" w:cstheme="minorHAnsi"/>
          <w:b/>
          <w:color w:val="009051"/>
          <w:sz w:val="28"/>
          <w:szCs w:val="28"/>
        </w:rPr>
      </w:pPr>
      <w:r>
        <w:t xml:space="preserve"> </w:t>
      </w:r>
      <w:r w:rsidR="00457872">
        <w:br w:type="page"/>
      </w:r>
    </w:p>
    <w:p w14:paraId="635513EE" w14:textId="02C2F4B3" w:rsidR="00A52F33" w:rsidRPr="00C16CE6" w:rsidRDefault="00B724CE" w:rsidP="001244A3">
      <w:pPr>
        <w:pStyle w:val="Heading1"/>
        <w:numPr>
          <w:ilvl w:val="0"/>
          <w:numId w:val="0"/>
        </w:numPr>
      </w:pPr>
      <w:bookmarkStart w:id="13" w:name="_Toc8387188"/>
      <w:r w:rsidRPr="00C16CE6">
        <w:lastRenderedPageBreak/>
        <w:t>Definition</w:t>
      </w:r>
      <w:r w:rsidR="00127F20" w:rsidRPr="00C16CE6">
        <w:t>s</w:t>
      </w:r>
      <w:r w:rsidR="00A52F33" w:rsidRPr="00C16CE6">
        <w:t xml:space="preserve"> of Terms</w:t>
      </w:r>
      <w:bookmarkEnd w:id="11"/>
      <w:bookmarkEnd w:id="12"/>
      <w:bookmarkEnd w:id="13"/>
    </w:p>
    <w:p w14:paraId="3F092570" w14:textId="5CEE0969" w:rsidR="00A52F33" w:rsidRPr="00C16CE6" w:rsidRDefault="00A52F33" w:rsidP="001244A3"/>
    <w:tbl>
      <w:tblPr>
        <w:tblStyle w:val="ListTable3-Accent6"/>
        <w:tblW w:w="0" w:type="auto"/>
        <w:tblLook w:val="04A0" w:firstRow="1" w:lastRow="0" w:firstColumn="1" w:lastColumn="0" w:noHBand="0" w:noVBand="1"/>
      </w:tblPr>
      <w:tblGrid>
        <w:gridCol w:w="2623"/>
        <w:gridCol w:w="6727"/>
      </w:tblGrid>
      <w:tr w:rsidR="00A52F33" w:rsidRPr="00C16CE6" w14:paraId="1AEFE49E" w14:textId="77777777" w:rsidTr="00B353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1EC3B5A2" w14:textId="77777777" w:rsidR="00A52F33" w:rsidRPr="00C16CE6" w:rsidRDefault="00A52F33" w:rsidP="001244A3">
            <w:pPr>
              <w:rPr>
                <w:rFonts w:cstheme="minorHAnsi"/>
                <w:sz w:val="20"/>
                <w:szCs w:val="20"/>
              </w:rPr>
            </w:pPr>
            <w:r w:rsidRPr="00C16CE6">
              <w:rPr>
                <w:rFonts w:cstheme="minorHAnsi"/>
                <w:sz w:val="20"/>
                <w:szCs w:val="20"/>
              </w:rPr>
              <w:t>Term</w:t>
            </w:r>
          </w:p>
        </w:tc>
        <w:tc>
          <w:tcPr>
            <w:tcW w:w="0" w:type="auto"/>
          </w:tcPr>
          <w:p w14:paraId="261BFE1A" w14:textId="57372C2D" w:rsidR="00A52F33" w:rsidRPr="00C16CE6" w:rsidRDefault="00A52F33" w:rsidP="001244A3">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16CE6">
              <w:rPr>
                <w:rFonts w:cstheme="minorHAnsi"/>
                <w:sz w:val="20"/>
                <w:szCs w:val="20"/>
              </w:rPr>
              <w:t>Definition</w:t>
            </w:r>
          </w:p>
        </w:tc>
      </w:tr>
      <w:tr w:rsidR="00EF7F7C" w:rsidRPr="00C16CE6" w14:paraId="5320F989"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744CE6" w14:textId="77777777" w:rsidR="00EF7F7C" w:rsidRPr="00EF7F7C" w:rsidRDefault="00EF7F7C" w:rsidP="00EB4F78">
            <w:pPr>
              <w:rPr>
                <w:bCs w:val="0"/>
              </w:rPr>
            </w:pPr>
            <w:r w:rsidRPr="00EF7F7C">
              <w:rPr>
                <w:color w:val="000000" w:themeColor="text1"/>
              </w:rPr>
              <w:t xml:space="preserve">Age of consent  </w:t>
            </w:r>
          </w:p>
        </w:tc>
        <w:tc>
          <w:tcPr>
            <w:tcW w:w="0" w:type="auto"/>
          </w:tcPr>
          <w:p w14:paraId="01856548" w14:textId="77777777" w:rsidR="00EF7F7C" w:rsidRDefault="00EF7F7C" w:rsidP="00EB4F7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16 years of age for </w:t>
            </w:r>
            <w:r w:rsidRPr="00B257E3">
              <w:rPr>
                <w:color w:val="000000" w:themeColor="text1"/>
              </w:rPr>
              <w:t xml:space="preserve">heterosexual and homosexual </w:t>
            </w:r>
            <w:r>
              <w:rPr>
                <w:color w:val="000000" w:themeColor="text1"/>
              </w:rPr>
              <w:t xml:space="preserve">acts. </w:t>
            </w:r>
          </w:p>
          <w:p w14:paraId="59B6C142" w14:textId="08F253AF" w:rsidR="00EF7F7C" w:rsidRDefault="00E478AD" w:rsidP="00EB4F78">
            <w:pPr>
              <w:cnfStyle w:val="000000100000" w:firstRow="0" w:lastRow="0" w:firstColumn="0" w:lastColumn="0" w:oddVBand="0" w:evenVBand="0" w:oddHBand="1" w:evenHBand="0" w:firstRowFirstColumn="0" w:firstRowLastColumn="0" w:lastRowFirstColumn="0" w:lastRowLastColumn="0"/>
            </w:pPr>
            <w:r>
              <w:rPr>
                <w:color w:val="000000" w:themeColor="text1"/>
              </w:rPr>
              <w:t>Note</w:t>
            </w:r>
            <w:r w:rsidR="00EF7F7C">
              <w:rPr>
                <w:color w:val="000000" w:themeColor="text1"/>
              </w:rPr>
              <w:t xml:space="preserve">: There is no age of consent (no minimum age) for access to termination of pregnancy services. </w:t>
            </w:r>
          </w:p>
        </w:tc>
      </w:tr>
      <w:tr w:rsidR="00EF7F7C" w:rsidRPr="00C16CE6" w14:paraId="72FCD6A4"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7C0DFEEE" w14:textId="77777777" w:rsidR="00EF7F7C" w:rsidRPr="00C16CE6" w:rsidRDefault="00EF7F7C" w:rsidP="00EF7F7C">
            <w:pPr>
              <w:rPr>
                <w:rFonts w:cstheme="minorHAnsi"/>
                <w:sz w:val="20"/>
                <w:szCs w:val="20"/>
              </w:rPr>
            </w:pPr>
            <w:r w:rsidRPr="00B257E3">
              <w:t>Autonomy</w:t>
            </w:r>
          </w:p>
        </w:tc>
        <w:tc>
          <w:tcPr>
            <w:tcW w:w="0" w:type="auto"/>
          </w:tcPr>
          <w:p w14:paraId="3FF9F370" w14:textId="23F88F50" w:rsidR="00EF7F7C" w:rsidRPr="00C16CE6" w:rsidRDefault="00EF7F7C" w:rsidP="00EF7F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The </w:t>
            </w:r>
            <w:r w:rsidRPr="00B257E3">
              <w:t>right to self-governance over one's own </w:t>
            </w:r>
            <w:r>
              <w:t xml:space="preserve">life decisions and </w:t>
            </w:r>
            <w:r w:rsidRPr="00B257E3">
              <w:t xml:space="preserve">body without external influence or coercion. In this guideline, </w:t>
            </w:r>
            <w:r>
              <w:t xml:space="preserve">mentally competent individuals, including those under 18, </w:t>
            </w:r>
            <w:r w:rsidRPr="00B257E3">
              <w:t>do not require the consent (authorization) of any third party, such as husband or part</w:t>
            </w:r>
            <w:r>
              <w:t>ner, to access termination of pregnancy</w:t>
            </w:r>
            <w:r w:rsidRPr="00B257E3">
              <w:t xml:space="preserve"> health services. </w:t>
            </w:r>
          </w:p>
        </w:tc>
      </w:tr>
      <w:tr w:rsidR="00EF7F7C" w:rsidRPr="00C16CE6" w14:paraId="27865BE2"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828179" w14:textId="317F6846" w:rsidR="00EF7F7C" w:rsidRPr="00A424CF" w:rsidRDefault="00EF7F7C" w:rsidP="00EB4F78">
            <w:pPr>
              <w:rPr>
                <w:bCs w:val="0"/>
              </w:rPr>
            </w:pPr>
            <w:r w:rsidRPr="00A424CF">
              <w:rPr>
                <w:bCs w:val="0"/>
              </w:rPr>
              <w:t>CTOP Act</w:t>
            </w:r>
            <w:r w:rsidR="00A424CF">
              <w:rPr>
                <w:bCs w:val="0"/>
              </w:rPr>
              <w:t xml:space="preserve">s </w:t>
            </w:r>
            <w:r w:rsidRPr="00A424CF">
              <w:rPr>
                <w:bCs w:val="0"/>
              </w:rPr>
              <w:t xml:space="preserve"> </w:t>
            </w:r>
          </w:p>
          <w:p w14:paraId="31ADB73B" w14:textId="77777777" w:rsidR="00EF7F7C" w:rsidRPr="00B257E3" w:rsidRDefault="00EF7F7C" w:rsidP="00EB4F78">
            <w:pPr>
              <w:rPr>
                <w:b w:val="0"/>
                <w:bCs w:val="0"/>
              </w:rPr>
            </w:pPr>
            <w:r w:rsidRPr="002A09A4">
              <w:rPr>
                <w:b w:val="0"/>
                <w:bCs w:val="0"/>
              </w:rPr>
              <w:t xml:space="preserve"> </w:t>
            </w:r>
          </w:p>
        </w:tc>
        <w:tc>
          <w:tcPr>
            <w:tcW w:w="0" w:type="auto"/>
          </w:tcPr>
          <w:p w14:paraId="705B15B7" w14:textId="59789C7D" w:rsidR="00EF7F7C" w:rsidRDefault="00EF7F7C" w:rsidP="00EB4F78">
            <w:pPr>
              <w:cnfStyle w:val="000000100000" w:firstRow="0" w:lastRow="0" w:firstColumn="0" w:lastColumn="0" w:oddVBand="0" w:evenVBand="0" w:oddHBand="1" w:evenHBand="0" w:firstRowFirstColumn="0" w:firstRowLastColumn="0" w:lastRowFirstColumn="0" w:lastRowLastColumn="0"/>
              <w:rPr>
                <w:bCs/>
              </w:rPr>
            </w:pPr>
            <w:r>
              <w:rPr>
                <w:bCs/>
              </w:rPr>
              <w:t>Choice on</w:t>
            </w:r>
            <w:r w:rsidRPr="00AB65E2">
              <w:rPr>
                <w:bCs/>
              </w:rPr>
              <w:t xml:space="preserve"> Termination of Pregnancy Act </w:t>
            </w:r>
            <w:r>
              <w:rPr>
                <w:bCs/>
              </w:rPr>
              <w:t xml:space="preserve">92 </w:t>
            </w:r>
            <w:r w:rsidRPr="00AB65E2">
              <w:rPr>
                <w:bCs/>
              </w:rPr>
              <w:t>of 1996</w:t>
            </w:r>
            <w:r w:rsidR="00A424CF">
              <w:rPr>
                <w:bCs/>
              </w:rPr>
              <w:t xml:space="preserve"> </w:t>
            </w:r>
            <w:r w:rsidR="00A424CF">
              <w:rPr>
                <w:bCs/>
              </w:rPr>
              <w:fldChar w:fldCharType="begin"/>
            </w:r>
            <w:r w:rsidR="005A01B7">
              <w:rPr>
                <w:bCs/>
              </w:rPr>
              <w:instrText xml:space="preserve"> ADDIN EN.CITE &lt;EndNote&gt;&lt;Cite&gt;&lt;Author&gt;Government of South Africa&lt;/Author&gt;&lt;Year&gt;1996&lt;/Year&gt;&lt;RecNum&gt;241&lt;/RecNum&gt;&lt;DisplayText&gt;&lt;style face="superscript"&gt;1&lt;/style&gt;&lt;/DisplayText&gt;&lt;record&gt;&lt;rec-number&gt;241&lt;/rec-number&gt;&lt;foreign-keys&gt;&lt;key app="EN" db-id="eare2taxlax2sqezt0kv0afm2vr2vt95dwsz" timestamp="1543206667"&gt;241&lt;/key&gt;&lt;/foreign-keys&gt;&lt;ref-type name="Government Document"&gt;46&lt;/ref-type&gt;&lt;contributors&gt;&lt;authors&gt;&lt;author&gt;Government of South Africa,&lt;/author&gt;&lt;/authors&gt;&lt;/contributors&gt;&lt;titles&gt;&lt;title&gt;Choice on Termination of Pregnancy Act 92&lt;/title&gt;&lt;/titles&gt;&lt;dates&gt;&lt;year&gt;1996&lt;/year&gt;&lt;/dates&gt;&lt;urls&gt;&lt;related-urls&gt;&lt;url&gt;https://www.gov.za/documents/choice-termination-pregnancy-act&lt;/url&gt;&lt;/related-urls&gt;&lt;/urls&gt;&lt;/record&gt;&lt;/Cite&gt;&lt;/EndNote&gt;</w:instrText>
            </w:r>
            <w:r w:rsidR="00A424CF">
              <w:rPr>
                <w:bCs/>
              </w:rPr>
              <w:fldChar w:fldCharType="separate"/>
            </w:r>
            <w:r w:rsidR="005A01B7" w:rsidRPr="005A01B7">
              <w:rPr>
                <w:bCs/>
                <w:noProof/>
                <w:vertAlign w:val="superscript"/>
              </w:rPr>
              <w:t>1</w:t>
            </w:r>
            <w:r w:rsidR="00A424CF">
              <w:rPr>
                <w:bCs/>
              </w:rPr>
              <w:fldChar w:fldCharType="end"/>
            </w:r>
          </w:p>
          <w:p w14:paraId="715D1207" w14:textId="7CC62277" w:rsidR="00EF7F7C" w:rsidRPr="00846994" w:rsidRDefault="00EF7F7C" w:rsidP="00EB4F78">
            <w:pPr>
              <w:cnfStyle w:val="000000100000" w:firstRow="0" w:lastRow="0" w:firstColumn="0" w:lastColumn="0" w:oddVBand="0" w:evenVBand="0" w:oddHBand="1" w:evenHBand="0" w:firstRowFirstColumn="0" w:firstRowLastColumn="0" w:lastRowFirstColumn="0" w:lastRowLastColumn="0"/>
            </w:pPr>
            <w:r w:rsidRPr="00846994">
              <w:t>Choice on Termination of Pregnancy Amendment Act 38 of 2004</w:t>
            </w:r>
            <w:r w:rsidR="00A424CF">
              <w:t xml:space="preserve"> </w:t>
            </w:r>
            <w:r w:rsidR="00A424CF">
              <w:fldChar w:fldCharType="begin"/>
            </w:r>
            <w:r w:rsidR="005A01B7">
              <w:instrText xml:space="preserve"> ADDIN EN.CITE &lt;EndNote&gt;&lt;Cite&gt;&lt;Author&gt;Government of South Africa&lt;/Author&gt;&lt;Year&gt;2004&lt;/Year&gt;&lt;RecNum&gt;243&lt;/RecNum&gt;&lt;DisplayText&gt;&lt;style face="superscript"&gt;2&lt;/style&gt;&lt;/DisplayText&gt;&lt;record&gt;&lt;rec-number&gt;243&lt;/rec-number&gt;&lt;foreign-keys&gt;&lt;key app="EN" db-id="eare2taxlax2sqezt0kv0afm2vr2vt95dwsz" timestamp="1543206873"&gt;243&lt;/key&gt;&lt;/foreign-keys&gt;&lt;ref-type name="Government Document"&gt;46&lt;/ref-type&gt;&lt;contributors&gt;&lt;authors&gt;&lt;author&gt;Government of South Africa,&lt;/author&gt;&lt;/authors&gt;&lt;/contributors&gt;&lt;titles&gt;&lt;title&gt;Choice on Termination of Pregnancy Amendment Act 38 (Sections 1, 3, 7-10)&lt;/title&gt;&lt;/titles&gt;&lt;dates&gt;&lt;year&gt;2004&lt;/year&gt;&lt;/dates&gt;&lt;urls&gt;&lt;related-urls&gt;&lt;url&gt;https://www.gov.za/documents/choice-termination-pregnancy-amendment-act-0&lt;/url&gt;&lt;/related-urls&gt;&lt;/urls&gt;&lt;/record&gt;&lt;/Cite&gt;&lt;/EndNote&gt;</w:instrText>
            </w:r>
            <w:r w:rsidR="00A424CF">
              <w:fldChar w:fldCharType="separate"/>
            </w:r>
            <w:r w:rsidR="005A01B7" w:rsidRPr="005A01B7">
              <w:rPr>
                <w:noProof/>
                <w:vertAlign w:val="superscript"/>
              </w:rPr>
              <w:t>2</w:t>
            </w:r>
            <w:r w:rsidR="00A424CF">
              <w:fldChar w:fldCharType="end"/>
            </w:r>
          </w:p>
          <w:p w14:paraId="1A897CD3" w14:textId="683F00B4" w:rsidR="00EF7F7C" w:rsidRDefault="00EF7F7C" w:rsidP="00EB4F78">
            <w:pPr>
              <w:cnfStyle w:val="000000100000" w:firstRow="0" w:lastRow="0" w:firstColumn="0" w:lastColumn="0" w:oddVBand="0" w:evenVBand="0" w:oddHBand="1" w:evenHBand="0" w:firstRowFirstColumn="0" w:firstRowLastColumn="0" w:lastRowFirstColumn="0" w:lastRowLastColumn="0"/>
            </w:pPr>
            <w:r w:rsidRPr="00846994">
              <w:t>Choice on Termination of Pregnancy Amendment Act 1 of 2008</w:t>
            </w:r>
            <w:r w:rsidR="00A424CF">
              <w:t xml:space="preserve"> </w:t>
            </w:r>
            <w:r w:rsidR="00A424CF">
              <w:fldChar w:fldCharType="begin"/>
            </w:r>
            <w:r w:rsidR="005A01B7">
              <w:instrText xml:space="preserve"> ADDIN EN.CITE &lt;EndNote&gt;&lt;Cite&gt;&lt;Author&gt;Government of South Africa&lt;/Author&gt;&lt;Year&gt;2008&lt;/Year&gt;&lt;RecNum&gt;242&lt;/RecNum&gt;&lt;DisplayText&gt;&lt;style face="superscript"&gt;3&lt;/style&gt;&lt;/DisplayText&gt;&lt;record&gt;&lt;rec-number&gt;242&lt;/rec-number&gt;&lt;foreign-keys&gt;&lt;key app="EN" db-id="eare2taxlax2sqezt0kv0afm2vr2vt95dwsz" timestamp="1543206773"&gt;242&lt;/key&gt;&lt;/foreign-keys&gt;&lt;ref-type name="Government Document"&gt;46&lt;/ref-type&gt;&lt;contributors&gt;&lt;authors&gt;&lt;author&gt;Government of South Africa,&lt;/author&gt;&lt;/authors&gt;&lt;/contributors&gt;&lt;titles&gt;&lt;title&gt;Choice on Termination of Pregnancy Amendment Act 1 (Sections 1, 3, 7-10)&lt;/title&gt;&lt;/titles&gt;&lt;dates&gt;&lt;year&gt;2008&lt;/year&gt;&lt;/dates&gt;&lt;urls&gt;&lt;related-urls&gt;&lt;url&gt;https://www.gov.za/documents/choice-termination-pregnancy-amendment-act&lt;/url&gt;&lt;/related-urls&gt;&lt;/urls&gt;&lt;/record&gt;&lt;/Cite&gt;&lt;/EndNote&gt;</w:instrText>
            </w:r>
            <w:r w:rsidR="00A424CF">
              <w:fldChar w:fldCharType="separate"/>
            </w:r>
            <w:r w:rsidR="005A01B7" w:rsidRPr="005A01B7">
              <w:rPr>
                <w:noProof/>
                <w:vertAlign w:val="superscript"/>
              </w:rPr>
              <w:t>3</w:t>
            </w:r>
            <w:r w:rsidR="00A424CF">
              <w:fldChar w:fldCharType="end"/>
            </w:r>
          </w:p>
        </w:tc>
      </w:tr>
      <w:tr w:rsidR="00EF7F7C" w:rsidRPr="00C16CE6" w14:paraId="0A30C5A0"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00224B95" w14:textId="6F6A60D1" w:rsidR="00EF7F7C" w:rsidRPr="00C16CE6" w:rsidRDefault="00EF7F7C" w:rsidP="00EF7F7C">
            <w:pPr>
              <w:rPr>
                <w:rFonts w:cstheme="minorHAnsi"/>
                <w:sz w:val="20"/>
                <w:szCs w:val="20"/>
              </w:rPr>
            </w:pPr>
            <w:r w:rsidRPr="00B257E3">
              <w:t>Duration or gestational age of pregnancy</w:t>
            </w:r>
          </w:p>
        </w:tc>
        <w:tc>
          <w:tcPr>
            <w:tcW w:w="0" w:type="auto"/>
          </w:tcPr>
          <w:p w14:paraId="3EBA3FDD" w14:textId="347BD67A" w:rsidR="00EF7F7C" w:rsidRPr="00C16CE6" w:rsidRDefault="00EF7F7C" w:rsidP="00EF7F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57E3">
              <w:t>The number of days or weeks s</w:t>
            </w:r>
            <w:r>
              <w:t>ince the first day of the individual</w:t>
            </w:r>
            <w:r w:rsidRPr="00B257E3">
              <w:t>’s last menstrual period (LM</w:t>
            </w:r>
            <w:r>
              <w:t>P) in those with regular cycles. F</w:t>
            </w:r>
            <w:r w:rsidRPr="00B257E3">
              <w:t xml:space="preserve">or </w:t>
            </w:r>
            <w:r w:rsidR="007E04D7">
              <w:t>individuals</w:t>
            </w:r>
            <w:r w:rsidRPr="00B257E3">
              <w:t xml:space="preserve"> with irregular cycles, the gestational age may need to be determined by physi</w:t>
            </w:r>
            <w:r>
              <w:t>cal or ultrasound examination</w:t>
            </w:r>
            <w:r w:rsidRPr="00B257E3">
              <w:t xml:space="preserve">. Throughout this document gestational age is defined in both weeks and days, reflecting its definition in the </w:t>
            </w:r>
            <w:r>
              <w:t>i</w:t>
            </w:r>
            <w:r w:rsidRPr="00B257E3">
              <w:t xml:space="preserve">nternational statistical classification of diseases (ICD). </w:t>
            </w:r>
          </w:p>
        </w:tc>
      </w:tr>
      <w:tr w:rsidR="00EF7F7C" w:rsidRPr="00C16CE6" w14:paraId="51F4040A"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1A3FCE" w14:textId="2E479592" w:rsidR="00EF7F7C" w:rsidRPr="00C16CE6" w:rsidRDefault="00EF7F7C" w:rsidP="00EF7F7C">
            <w:pPr>
              <w:rPr>
                <w:rFonts w:cstheme="minorHAnsi"/>
                <w:sz w:val="20"/>
                <w:szCs w:val="20"/>
              </w:rPr>
            </w:pPr>
            <w:r>
              <w:t>First t</w:t>
            </w:r>
            <w:r w:rsidRPr="00B257E3">
              <w:t xml:space="preserve">rimester </w:t>
            </w:r>
          </w:p>
        </w:tc>
        <w:tc>
          <w:tcPr>
            <w:tcW w:w="0" w:type="auto"/>
          </w:tcPr>
          <w:p w14:paraId="660E698C" w14:textId="6ACDFB7E" w:rsidR="00EF7F7C" w:rsidRPr="00C16CE6" w:rsidRDefault="00EF7F7C" w:rsidP="00EF7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Refers to the gestational period of the first day of the last menstrual period through to the </w:t>
            </w:r>
            <w:r w:rsidRPr="00B257E3">
              <w:t>12 weeks</w:t>
            </w:r>
            <w:r w:rsidR="0047375D">
              <w:t>, 0</w:t>
            </w:r>
            <w:r>
              <w:t xml:space="preserve"> days of the pregnancy. </w:t>
            </w:r>
          </w:p>
        </w:tc>
      </w:tr>
      <w:tr w:rsidR="00D20D3C" w:rsidRPr="00C16CE6" w14:paraId="7300D5B3"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601A277A" w14:textId="3D678825" w:rsidR="00D20D3C" w:rsidRDefault="00D20D3C" w:rsidP="00EF7F7C">
            <w:r>
              <w:t>Incomplete termination of pregnancy</w:t>
            </w:r>
          </w:p>
        </w:tc>
        <w:tc>
          <w:tcPr>
            <w:tcW w:w="0" w:type="auto"/>
          </w:tcPr>
          <w:p w14:paraId="66695C25" w14:textId="28B81AAC" w:rsidR="00D20D3C" w:rsidRDefault="00D20D3C" w:rsidP="00EF7F7C">
            <w:pPr>
              <w:cnfStyle w:val="000000000000" w:firstRow="0" w:lastRow="0" w:firstColumn="0" w:lastColumn="0" w:oddVBand="0" w:evenVBand="0" w:oddHBand="0" w:evenHBand="0" w:firstRowFirstColumn="0" w:firstRowLastColumn="0" w:lastRowFirstColumn="0" w:lastRowLastColumn="0"/>
            </w:pPr>
            <w:r>
              <w:t>The clinical presence of open cervical os and bleeding, whereby all products of conception have not been expelled from the uterus.</w:t>
            </w:r>
          </w:p>
        </w:tc>
      </w:tr>
      <w:tr w:rsidR="00EF7F7C" w:rsidRPr="00C16CE6" w14:paraId="1C3FB5DD"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1395A4" w14:textId="77777777" w:rsidR="00EF7F7C" w:rsidRPr="00C16CE6" w:rsidRDefault="00EF7F7C" w:rsidP="00EF7F7C">
            <w:pPr>
              <w:rPr>
                <w:rFonts w:cstheme="minorHAnsi"/>
                <w:sz w:val="20"/>
                <w:szCs w:val="20"/>
              </w:rPr>
            </w:pPr>
            <w:r>
              <w:t>Live b</w:t>
            </w:r>
            <w:r w:rsidRPr="00B257E3">
              <w:t xml:space="preserve">irth </w:t>
            </w:r>
          </w:p>
        </w:tc>
        <w:tc>
          <w:tcPr>
            <w:tcW w:w="0" w:type="auto"/>
          </w:tcPr>
          <w:p w14:paraId="5B606641" w14:textId="3849C4F7" w:rsidR="00EF7F7C" w:rsidRPr="00C16CE6" w:rsidRDefault="00EF7F7C" w:rsidP="00EF7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Delivery of a </w:t>
            </w:r>
            <w:r w:rsidR="00B353F2">
              <w:t>foetus</w:t>
            </w:r>
            <w:r w:rsidRPr="00B257E3">
              <w:t xml:space="preserve"> that shows evidence of life</w:t>
            </w:r>
            <w:r>
              <w:t>.</w:t>
            </w:r>
          </w:p>
        </w:tc>
      </w:tr>
      <w:tr w:rsidR="00EF7F7C" w:rsidRPr="00C16CE6" w14:paraId="04B13015"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194BC7DB" w14:textId="601DF1BD" w:rsidR="00EF7F7C" w:rsidRPr="00C16CE6" w:rsidRDefault="00EF7F7C" w:rsidP="00EF7F7C">
            <w:pPr>
              <w:rPr>
                <w:rFonts w:cstheme="minorHAnsi"/>
                <w:sz w:val="20"/>
                <w:szCs w:val="20"/>
              </w:rPr>
            </w:pPr>
            <w:r w:rsidRPr="00B257E3">
              <w:t xml:space="preserve">Medical </w:t>
            </w:r>
            <w:r>
              <w:t xml:space="preserve">termination of pregnancy </w:t>
            </w:r>
          </w:p>
        </w:tc>
        <w:tc>
          <w:tcPr>
            <w:tcW w:w="0" w:type="auto"/>
          </w:tcPr>
          <w:p w14:paraId="0B3ED655" w14:textId="176FB074" w:rsidR="00EF7F7C" w:rsidRPr="00C16CE6" w:rsidRDefault="00EF7F7C" w:rsidP="00EF7F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57E3">
              <w:t xml:space="preserve">Use of pharmacological drugs </w:t>
            </w:r>
            <w:r>
              <w:t>to terminate pregnancy</w:t>
            </w:r>
            <w:r w:rsidRPr="00B257E3">
              <w:t xml:space="preserve">. </w:t>
            </w:r>
            <w:r w:rsidR="00495AC4">
              <w:t>Sometimes</w:t>
            </w:r>
            <w:r>
              <w:t>,</w:t>
            </w:r>
            <w:r w:rsidRPr="00B257E3">
              <w:t xml:space="preserve"> the terms ‘non-surgical TOP’ or ‘medication TOP’ are also used.</w:t>
            </w:r>
          </w:p>
        </w:tc>
      </w:tr>
      <w:tr w:rsidR="00EF7F7C" w:rsidRPr="00C16CE6" w14:paraId="36272B18"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25FA14" w14:textId="77777777" w:rsidR="00EF7F7C" w:rsidRPr="00A424CF" w:rsidRDefault="00EF7F7C" w:rsidP="00EB4F78">
            <w:pPr>
              <w:rPr>
                <w:bCs w:val="0"/>
              </w:rPr>
            </w:pPr>
            <w:r w:rsidRPr="00A424CF">
              <w:rPr>
                <w:color w:val="000000" w:themeColor="text1"/>
              </w:rPr>
              <w:t>Minor</w:t>
            </w:r>
          </w:p>
        </w:tc>
        <w:tc>
          <w:tcPr>
            <w:tcW w:w="0" w:type="auto"/>
          </w:tcPr>
          <w:p w14:paraId="0BF7A2A4" w14:textId="7A8BB199" w:rsidR="00EF7F7C" w:rsidRDefault="00EF7F7C" w:rsidP="00EB4F78">
            <w:pPr>
              <w:cnfStyle w:val="000000100000" w:firstRow="0" w:lastRow="0" w:firstColumn="0" w:lastColumn="0" w:oddVBand="0" w:evenVBand="0" w:oddHBand="1" w:evenHBand="0" w:firstRowFirstColumn="0" w:firstRowLastColumn="0" w:lastRowFirstColumn="0" w:lastRowLastColumn="0"/>
            </w:pPr>
            <w:r w:rsidRPr="00B257E3">
              <w:rPr>
                <w:color w:val="000000" w:themeColor="text1"/>
              </w:rPr>
              <w:t>The South African Constitution defines a child, and perforce a minor, as a person under the age of 18 years. Similarly, international human rights instruments applying specifically to minors</w:t>
            </w:r>
            <w:r w:rsidR="00A424CF">
              <w:rPr>
                <w:color w:val="000000" w:themeColor="text1"/>
              </w:rPr>
              <w:t>,</w:t>
            </w:r>
            <w:r w:rsidRPr="00B257E3">
              <w:rPr>
                <w:color w:val="000000" w:themeColor="text1"/>
              </w:rPr>
              <w:t xml:space="preserve"> such as the Convention on the Rights of the Child, define a child as a person under the age of 18 years.</w:t>
            </w:r>
          </w:p>
        </w:tc>
      </w:tr>
      <w:tr w:rsidR="00EF7F7C" w:rsidRPr="00C16CE6" w14:paraId="5FC7864C"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79062DD8" w14:textId="544F0600" w:rsidR="00EF7F7C" w:rsidRPr="00C16CE6" w:rsidRDefault="00EF7F7C" w:rsidP="00EF7F7C">
            <w:r w:rsidRPr="00B257E3">
              <w:t>Osmotic dilators</w:t>
            </w:r>
          </w:p>
        </w:tc>
        <w:tc>
          <w:tcPr>
            <w:tcW w:w="0" w:type="auto"/>
          </w:tcPr>
          <w:p w14:paraId="7D19BF29" w14:textId="76A60D4E" w:rsidR="00EF7F7C" w:rsidRPr="00C16CE6" w:rsidRDefault="00EF7F7C" w:rsidP="00EF7F7C">
            <w:pPr>
              <w:cnfStyle w:val="000000000000" w:firstRow="0" w:lastRow="0" w:firstColumn="0" w:lastColumn="0" w:oddVBand="0" w:evenVBand="0" w:oddHBand="0" w:evenHBand="0" w:firstRowFirstColumn="0" w:firstRowLastColumn="0" w:lastRowFirstColumn="0" w:lastRowLastColumn="0"/>
            </w:pPr>
            <w:r w:rsidRPr="00B257E3">
              <w:t>Short, thin rods made of treated seaweed (laminaria) or synthetic material. After placement in the cervical os, the dilators absorb moisture and expand, gradually dilating the cervix</w:t>
            </w:r>
            <w:r>
              <w:t>.</w:t>
            </w:r>
          </w:p>
        </w:tc>
      </w:tr>
      <w:tr w:rsidR="00EF7F7C" w:rsidRPr="00C16CE6" w14:paraId="2BD11677"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5F5D3D" w14:textId="77777777" w:rsidR="00EF7F7C" w:rsidRPr="00C16CE6" w:rsidRDefault="00EF7F7C" w:rsidP="00EF7F7C">
            <w:pPr>
              <w:rPr>
                <w:rFonts w:cstheme="minorHAnsi"/>
                <w:sz w:val="20"/>
                <w:szCs w:val="20"/>
              </w:rPr>
            </w:pPr>
            <w:r>
              <w:t>Post</w:t>
            </w:r>
            <w:r w:rsidRPr="00B257E3">
              <w:t xml:space="preserve"> </w:t>
            </w:r>
            <w:r>
              <w:t>termination of pregnancy</w:t>
            </w:r>
            <w:r w:rsidRPr="00B257E3">
              <w:t xml:space="preserve"> care</w:t>
            </w:r>
          </w:p>
        </w:tc>
        <w:tc>
          <w:tcPr>
            <w:tcW w:w="0" w:type="auto"/>
          </w:tcPr>
          <w:p w14:paraId="4588CA99" w14:textId="131CA926" w:rsidR="00EF7F7C" w:rsidRPr="00C16CE6" w:rsidRDefault="00EF7F7C" w:rsidP="00EF7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57E3">
              <w:t xml:space="preserve">Life-saving services that meet the needs of </w:t>
            </w:r>
            <w:r>
              <w:t xml:space="preserve">individuals </w:t>
            </w:r>
            <w:r w:rsidRPr="00B257E3">
              <w:t xml:space="preserve">suffering complications </w:t>
            </w:r>
            <w:r>
              <w:t>from</w:t>
            </w:r>
            <w:r w:rsidRPr="00B257E3">
              <w:t xml:space="preserve"> </w:t>
            </w:r>
            <w:r>
              <w:t>termination of pregnancy</w:t>
            </w:r>
            <w:r w:rsidRPr="00B257E3">
              <w:t>.</w:t>
            </w:r>
          </w:p>
        </w:tc>
      </w:tr>
      <w:tr w:rsidR="00EF7F7C" w:rsidRPr="00C16CE6" w14:paraId="5681ECB7"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044CBB85" w14:textId="77777777" w:rsidR="00EF7F7C" w:rsidRPr="00C16CE6" w:rsidRDefault="00EF7F7C" w:rsidP="00EF7F7C">
            <w:pPr>
              <w:rPr>
                <w:rFonts w:cstheme="minorHAnsi"/>
                <w:sz w:val="20"/>
                <w:szCs w:val="20"/>
              </w:rPr>
            </w:pPr>
            <w:r w:rsidRPr="00B257E3">
              <w:t>Registered Medical Practitioners</w:t>
            </w:r>
          </w:p>
        </w:tc>
        <w:tc>
          <w:tcPr>
            <w:tcW w:w="0" w:type="auto"/>
          </w:tcPr>
          <w:p w14:paraId="0EC27EAA" w14:textId="6C88A3A5" w:rsidR="00EF7F7C" w:rsidRPr="00C16CE6" w:rsidRDefault="00EF7F7C" w:rsidP="00EF7F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A</w:t>
            </w:r>
            <w:r w:rsidRPr="00B257E3">
              <w:t xml:space="preserve"> practitioner who is registered with the </w:t>
            </w:r>
            <w:r>
              <w:rPr>
                <w:rFonts w:eastAsia="Arial"/>
              </w:rPr>
              <w:t>Health Professions Council of South Africa</w:t>
            </w:r>
            <w:r w:rsidRPr="00B257E3">
              <w:t xml:space="preserve"> or the </w:t>
            </w:r>
            <w:r>
              <w:rPr>
                <w:rFonts w:eastAsia="Arial"/>
              </w:rPr>
              <w:t>South African Nursing Council</w:t>
            </w:r>
            <w:r w:rsidRPr="00B257E3">
              <w:t xml:space="preserve"> to provide any services related to </w:t>
            </w:r>
            <w:r>
              <w:t xml:space="preserve">termination of pregnancy services. </w:t>
            </w:r>
          </w:p>
        </w:tc>
      </w:tr>
      <w:tr w:rsidR="00EF7F7C" w:rsidRPr="00C16CE6" w14:paraId="5A187D8A"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F4AE4E" w14:textId="5B596B56" w:rsidR="00EF7F7C" w:rsidRPr="00C16CE6" w:rsidRDefault="00EF7F7C" w:rsidP="00EF7F7C">
            <w:pPr>
              <w:rPr>
                <w:rFonts w:cstheme="minorHAnsi"/>
                <w:sz w:val="20"/>
                <w:szCs w:val="20"/>
              </w:rPr>
            </w:pPr>
            <w:r w:rsidRPr="00B257E3">
              <w:lastRenderedPageBreak/>
              <w:t>Routes of misoprostol administration:</w:t>
            </w:r>
          </w:p>
        </w:tc>
        <w:tc>
          <w:tcPr>
            <w:tcW w:w="0" w:type="auto"/>
          </w:tcPr>
          <w:p w14:paraId="1077A1C7" w14:textId="1F54CD17" w:rsidR="00EF7F7C" w:rsidRPr="00B257E3" w:rsidRDefault="00EF7F7C" w:rsidP="00EF7F7C">
            <w:pPr>
              <w:cnfStyle w:val="000000100000" w:firstRow="0" w:lastRow="0" w:firstColumn="0" w:lastColumn="0" w:oddVBand="0" w:evenVBand="0" w:oddHBand="1" w:evenHBand="0" w:firstRowFirstColumn="0" w:firstRowLastColumn="0" w:lastRowFirstColumn="0" w:lastRowLastColumn="0"/>
            </w:pPr>
            <w:r w:rsidRPr="00B257E3">
              <w:rPr>
                <w:b/>
              </w:rPr>
              <w:t>Oral</w:t>
            </w:r>
            <w:r w:rsidRPr="00B257E3">
              <w:t xml:space="preserve"> – </w:t>
            </w:r>
            <w:r w:rsidR="00495AC4">
              <w:t>pills are swallowed</w:t>
            </w:r>
            <w:r w:rsidR="001606CD">
              <w:t xml:space="preserve"> immediately</w:t>
            </w:r>
            <w:r w:rsidR="0023178B">
              <w:t>.</w:t>
            </w:r>
          </w:p>
          <w:p w14:paraId="58861979" w14:textId="1A538481" w:rsidR="00EF7F7C" w:rsidRPr="00B257E3" w:rsidRDefault="00EF7F7C" w:rsidP="00EF7F7C">
            <w:pPr>
              <w:cnfStyle w:val="000000100000" w:firstRow="0" w:lastRow="0" w:firstColumn="0" w:lastColumn="0" w:oddVBand="0" w:evenVBand="0" w:oddHBand="1" w:evenHBand="0" w:firstRowFirstColumn="0" w:firstRowLastColumn="0" w:lastRowFirstColumn="0" w:lastRowLastColumn="0"/>
            </w:pPr>
            <w:r w:rsidRPr="00B257E3">
              <w:rPr>
                <w:b/>
              </w:rPr>
              <w:t>Buccal</w:t>
            </w:r>
            <w:r w:rsidRPr="00B257E3">
              <w:t xml:space="preserve"> – pills are placed between the cheek and gums and swallowed after 30 minutes</w:t>
            </w:r>
            <w:r w:rsidR="0023178B">
              <w:t>.</w:t>
            </w:r>
          </w:p>
          <w:p w14:paraId="2B8C0A0E" w14:textId="0F8F03F9" w:rsidR="00EF7F7C" w:rsidRPr="00B257E3" w:rsidRDefault="00EF7F7C" w:rsidP="00EF7F7C">
            <w:pPr>
              <w:cnfStyle w:val="000000100000" w:firstRow="0" w:lastRow="0" w:firstColumn="0" w:lastColumn="0" w:oddVBand="0" w:evenVBand="0" w:oddHBand="1" w:evenHBand="0" w:firstRowFirstColumn="0" w:firstRowLastColumn="0" w:lastRowFirstColumn="0" w:lastRowLastColumn="0"/>
            </w:pPr>
            <w:r w:rsidRPr="00B257E3">
              <w:rPr>
                <w:b/>
              </w:rPr>
              <w:t>Sublingual</w:t>
            </w:r>
            <w:r w:rsidRPr="00B257E3">
              <w:t xml:space="preserve"> – pills are placed under the tongue and after 30 minutes</w:t>
            </w:r>
            <w:r w:rsidR="0023178B">
              <w:t>.</w:t>
            </w:r>
          </w:p>
          <w:p w14:paraId="15CFA5CE" w14:textId="136C8CDD" w:rsidR="00EF7F7C" w:rsidRPr="00C16CE6" w:rsidRDefault="00EF7F7C" w:rsidP="00EF7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57E3">
              <w:rPr>
                <w:b/>
              </w:rPr>
              <w:t>Vaginal</w:t>
            </w:r>
            <w:r w:rsidRPr="00B257E3">
              <w:t xml:space="preserve"> – pills are placed in the vaginal fornices (</w:t>
            </w:r>
            <w:r>
              <w:t>or as deep as possible</w:t>
            </w:r>
            <w:r w:rsidRPr="00B257E3">
              <w:t xml:space="preserve">) and the </w:t>
            </w:r>
            <w:r w:rsidR="007E04D7">
              <w:t>individual</w:t>
            </w:r>
            <w:r w:rsidRPr="00B257E3">
              <w:t xml:space="preserve"> is instructed to lie down for 30 minutes</w:t>
            </w:r>
            <w:r w:rsidR="0023178B">
              <w:t>.</w:t>
            </w:r>
          </w:p>
        </w:tc>
      </w:tr>
      <w:tr w:rsidR="00EF7F7C" w:rsidRPr="00C16CE6" w14:paraId="71FAA9A8"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07CCF08C" w14:textId="77777777" w:rsidR="00EF7F7C" w:rsidRPr="00C16CE6" w:rsidRDefault="00EF7F7C" w:rsidP="00EF7F7C">
            <w:pPr>
              <w:rPr>
                <w:rFonts w:cstheme="minorHAnsi"/>
                <w:sz w:val="20"/>
                <w:szCs w:val="20"/>
              </w:rPr>
            </w:pPr>
            <w:r>
              <w:t>Second t</w:t>
            </w:r>
            <w:r w:rsidRPr="00B257E3">
              <w:t xml:space="preserve">rimester </w:t>
            </w:r>
          </w:p>
        </w:tc>
        <w:tc>
          <w:tcPr>
            <w:tcW w:w="0" w:type="auto"/>
          </w:tcPr>
          <w:p w14:paraId="5C34D5CB" w14:textId="6478871D" w:rsidR="00EF7F7C" w:rsidRPr="00C16CE6" w:rsidRDefault="00EF7F7C" w:rsidP="00EF7F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57E3">
              <w:t>Refers to the gestation period</w:t>
            </w:r>
            <w:r w:rsidR="00780417">
              <w:t xml:space="preserve"> between 12 weeks, 1 day</w:t>
            </w:r>
            <w:r w:rsidR="0023178B">
              <w:t xml:space="preserve"> through to</w:t>
            </w:r>
            <w:r w:rsidR="00780417">
              <w:t xml:space="preserve"> 27</w:t>
            </w:r>
            <w:r w:rsidRPr="00B257E3">
              <w:t xml:space="preserve"> weeks</w:t>
            </w:r>
            <w:r w:rsidR="00780417">
              <w:t>, 6</w:t>
            </w:r>
            <w:r>
              <w:t xml:space="preserve"> days</w:t>
            </w:r>
            <w:r w:rsidRPr="00B257E3">
              <w:t xml:space="preserve"> of</w:t>
            </w:r>
            <w:r>
              <w:t xml:space="preserve"> the pregnancy. </w:t>
            </w:r>
          </w:p>
        </w:tc>
      </w:tr>
      <w:tr w:rsidR="00EF7F7C" w:rsidRPr="00C16CE6" w14:paraId="57087E59"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8DECC9" w14:textId="40B60D56" w:rsidR="00EF7F7C" w:rsidRPr="00EB4F78" w:rsidRDefault="00EF7F7C" w:rsidP="00EB4F78">
            <w:pPr>
              <w:rPr>
                <w:bCs w:val="0"/>
              </w:rPr>
            </w:pPr>
            <w:r w:rsidRPr="00EB4F78">
              <w:rPr>
                <w:color w:val="000000" w:themeColor="text1"/>
              </w:rPr>
              <w:t>Sexual Offences and Related Matters Amendment Act, 2007 (Act No. 32 of 2007</w:t>
            </w:r>
            <w:r w:rsidR="00EB4F78">
              <w:rPr>
                <w:color w:val="000000" w:themeColor="text1"/>
              </w:rPr>
              <w:t>)</w:t>
            </w:r>
          </w:p>
        </w:tc>
        <w:tc>
          <w:tcPr>
            <w:tcW w:w="0" w:type="auto"/>
          </w:tcPr>
          <w:p w14:paraId="0DC1989D" w14:textId="70943653" w:rsidR="00EF7F7C" w:rsidRDefault="00EF7F7C" w:rsidP="00EB4F78">
            <w:pPr>
              <w:cnfStyle w:val="000000100000" w:firstRow="0" w:lastRow="0" w:firstColumn="0" w:lastColumn="0" w:oddVBand="0" w:evenVBand="0" w:oddHBand="1" w:evenHBand="0" w:firstRowFirstColumn="0" w:firstRowLastColumn="0" w:lastRowFirstColumn="0" w:lastRowLastColumn="0"/>
            </w:pPr>
            <w:r w:rsidRPr="00B257E3">
              <w:rPr>
                <w:color w:val="000000" w:themeColor="text1"/>
              </w:rPr>
              <w:t>This is an</w:t>
            </w:r>
            <w:r>
              <w:rPr>
                <w:color w:val="000000" w:themeColor="text1"/>
              </w:rPr>
              <w:t xml:space="preserve"> A</w:t>
            </w:r>
            <w:r w:rsidRPr="00B257E3">
              <w:rPr>
                <w:color w:val="000000" w:themeColor="text1"/>
              </w:rPr>
              <w:t xml:space="preserve">ct of the Parliament of South Africa that reformed and codified the law relating to sex offences. This law imposes a duty </w:t>
            </w:r>
            <w:r>
              <w:rPr>
                <w:color w:val="000000" w:themeColor="text1"/>
              </w:rPr>
              <w:t>to provide</w:t>
            </w:r>
            <w:r w:rsidRPr="00B257E3">
              <w:rPr>
                <w:color w:val="000000" w:themeColor="text1"/>
              </w:rPr>
              <w:t xml:space="preserve"> various services to the victims of sexual offences, including free post-exposure prophylaxis for HIV, emergency contraception</w:t>
            </w:r>
            <w:r w:rsidR="00EB4F78">
              <w:rPr>
                <w:color w:val="000000" w:themeColor="text1"/>
              </w:rPr>
              <w:t>,</w:t>
            </w:r>
            <w:r w:rsidRPr="00B257E3">
              <w:rPr>
                <w:color w:val="000000" w:themeColor="text1"/>
              </w:rPr>
              <w:t xml:space="preserve"> and the ability to obtain a court order to compel HIV testing of the alleged offender</w:t>
            </w:r>
            <w:r>
              <w:rPr>
                <w:color w:val="000000" w:themeColor="text1"/>
              </w:rPr>
              <w:t xml:space="preserve">, as well as report </w:t>
            </w:r>
            <w:r w:rsidRPr="00B257E3">
              <w:rPr>
                <w:color w:val="000000" w:themeColor="text1"/>
              </w:rPr>
              <w:t>sexual offe</w:t>
            </w:r>
            <w:r>
              <w:rPr>
                <w:color w:val="000000" w:themeColor="text1"/>
              </w:rPr>
              <w:t>nces against children. In all cases, individuals who are victim of sexual offence and in need of termination of pregnancy services must be provided these services promptly.</w:t>
            </w:r>
            <w:r w:rsidR="001F1791">
              <w:rPr>
                <w:color w:val="000000" w:themeColor="text1"/>
              </w:rPr>
              <w:fldChar w:fldCharType="begin"/>
            </w:r>
            <w:r w:rsidR="005A01B7">
              <w:rPr>
                <w:color w:val="000000" w:themeColor="text1"/>
              </w:rPr>
              <w:instrText xml:space="preserve"> ADDIN EN.CITE &lt;EndNote&gt;&lt;Cite&gt;&lt;Author&gt;Government of South Africa&lt;/Author&gt;&lt;Year&gt;2007&lt;/Year&gt;&lt;RecNum&gt;244&lt;/RecNum&gt;&lt;DisplayText&gt;&lt;style face="superscript"&gt;4&lt;/style&gt;&lt;/DisplayText&gt;&lt;record&gt;&lt;rec-number&gt;244&lt;/rec-number&gt;&lt;foreign-keys&gt;&lt;key app="EN" db-id="eare2taxlax2sqezt0kv0afm2vr2vt95dwsz" timestamp="1543207055"&gt;244&lt;/key&gt;&lt;/foreign-keys&gt;&lt;ref-type name="Government Document"&gt;46&lt;/ref-type&gt;&lt;contributors&gt;&lt;authors&gt;&lt;author&gt;Government of South Africa,&lt;/author&gt;&lt;/authors&gt;&lt;/contributors&gt;&lt;titles&gt;&lt;title&gt;Criminal Law (Sexual Offences and Related Matters) Amendment Act 32&lt;/title&gt;&lt;/titles&gt;&lt;dates&gt;&lt;year&gt;2007&lt;/year&gt;&lt;/dates&gt;&lt;urls&gt;&lt;related-urls&gt;&lt;url&gt;https://www.gov.za/documents/criminal-law-sexual-offences-and-related-matters-amendment-act&lt;/url&gt;&lt;/related-urls&gt;&lt;/urls&gt;&lt;/record&gt;&lt;/Cite&gt;&lt;/EndNote&gt;</w:instrText>
            </w:r>
            <w:r w:rsidR="001F1791">
              <w:rPr>
                <w:color w:val="000000" w:themeColor="text1"/>
              </w:rPr>
              <w:fldChar w:fldCharType="separate"/>
            </w:r>
            <w:r w:rsidR="005A01B7" w:rsidRPr="005A01B7">
              <w:rPr>
                <w:noProof/>
                <w:color w:val="000000" w:themeColor="text1"/>
                <w:vertAlign w:val="superscript"/>
              </w:rPr>
              <w:t>4</w:t>
            </w:r>
            <w:r w:rsidR="001F1791">
              <w:rPr>
                <w:color w:val="000000" w:themeColor="text1"/>
              </w:rPr>
              <w:fldChar w:fldCharType="end"/>
            </w:r>
          </w:p>
        </w:tc>
      </w:tr>
      <w:tr w:rsidR="00EF7F7C" w:rsidRPr="00C16CE6" w14:paraId="55A2F5FB"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2E69F79E" w14:textId="77777777" w:rsidR="00EF7F7C" w:rsidRPr="001F1791" w:rsidRDefault="00EF7F7C" w:rsidP="00EB4F78">
            <w:pPr>
              <w:rPr>
                <w:bCs w:val="0"/>
              </w:rPr>
            </w:pPr>
            <w:r w:rsidRPr="001F1791">
              <w:rPr>
                <w:color w:val="000000" w:themeColor="text1"/>
              </w:rPr>
              <w:t>Statutory rape</w:t>
            </w:r>
          </w:p>
        </w:tc>
        <w:tc>
          <w:tcPr>
            <w:tcW w:w="0" w:type="auto"/>
          </w:tcPr>
          <w:p w14:paraId="324D2C23" w14:textId="688BFD39" w:rsidR="00EF7F7C" w:rsidRDefault="004D391B" w:rsidP="00EB4F78">
            <w:pPr>
              <w:cnfStyle w:val="000000000000" w:firstRow="0" w:lastRow="0" w:firstColumn="0" w:lastColumn="0" w:oddVBand="0" w:evenVBand="0" w:oddHBand="0" w:evenHBand="0" w:firstRowFirstColumn="0" w:firstRowLastColumn="0" w:lastRowFirstColumn="0" w:lastRowLastColumn="0"/>
            </w:pPr>
            <w:r>
              <w:rPr>
                <w:color w:val="000000" w:themeColor="text1"/>
              </w:rPr>
              <w:t>Statutory rape is non-</w:t>
            </w:r>
            <w:r w:rsidR="00EF7F7C" w:rsidRPr="00B257E3">
              <w:rPr>
                <w:color w:val="000000" w:themeColor="text1"/>
              </w:rPr>
              <w:t>forcible sexual activity in which one of the individuals is below the age of consent (the age required to legally consent to the behaviour and often referred to as sexual assault in South Africa). In the context of termination of pregnancy, it is important that the pursuit of legal recourse i</w:t>
            </w:r>
            <w:r w:rsidR="00EF7F7C">
              <w:rPr>
                <w:color w:val="000000" w:themeColor="text1"/>
              </w:rPr>
              <w:t>n such cases do</w:t>
            </w:r>
            <w:r w:rsidR="009E1AA0">
              <w:rPr>
                <w:color w:val="000000" w:themeColor="text1"/>
              </w:rPr>
              <w:t>es</w:t>
            </w:r>
            <w:r w:rsidR="00EF7F7C">
              <w:rPr>
                <w:color w:val="000000" w:themeColor="text1"/>
              </w:rPr>
              <w:t xml:space="preserve"> not detract the provider</w:t>
            </w:r>
            <w:r w:rsidR="00EF7F7C" w:rsidRPr="00B257E3">
              <w:rPr>
                <w:color w:val="000000" w:themeColor="text1"/>
              </w:rPr>
              <w:t xml:space="preserve"> from offering the </w:t>
            </w:r>
            <w:r w:rsidR="00EF7F7C">
              <w:rPr>
                <w:color w:val="000000" w:themeColor="text1"/>
              </w:rPr>
              <w:t>termination of pregnancy</w:t>
            </w:r>
            <w:r w:rsidR="00EF7F7C" w:rsidRPr="00B257E3">
              <w:rPr>
                <w:color w:val="000000" w:themeColor="text1"/>
              </w:rPr>
              <w:t xml:space="preserve"> services that the </w:t>
            </w:r>
            <w:r w:rsidR="00EF7F7C">
              <w:rPr>
                <w:color w:val="000000" w:themeColor="text1"/>
              </w:rPr>
              <w:t xml:space="preserve">individual needs. </w:t>
            </w:r>
            <w:r w:rsidR="00EF7F7C" w:rsidRPr="00B257E3">
              <w:rPr>
                <w:color w:val="000000" w:themeColor="text1"/>
              </w:rPr>
              <w:t xml:space="preserve"> </w:t>
            </w:r>
          </w:p>
        </w:tc>
      </w:tr>
      <w:tr w:rsidR="00EF7F7C" w:rsidRPr="00C16CE6" w14:paraId="02DB2F54"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BD229F" w14:textId="3EDE8E48" w:rsidR="00EF7F7C" w:rsidRPr="00C16CE6" w:rsidRDefault="00EF7F7C" w:rsidP="00EF7F7C">
            <w:pPr>
              <w:rPr>
                <w:rFonts w:cstheme="minorHAnsi"/>
                <w:sz w:val="20"/>
                <w:szCs w:val="20"/>
              </w:rPr>
            </w:pPr>
            <w:r w:rsidRPr="00B257E3">
              <w:t xml:space="preserve">Surgical </w:t>
            </w:r>
            <w:r>
              <w:t>termination of p</w:t>
            </w:r>
            <w:r w:rsidRPr="00B257E3">
              <w:t>regnancy</w:t>
            </w:r>
          </w:p>
        </w:tc>
        <w:tc>
          <w:tcPr>
            <w:tcW w:w="0" w:type="auto"/>
          </w:tcPr>
          <w:p w14:paraId="3BE6085A" w14:textId="29A8AF8B" w:rsidR="00EF7F7C" w:rsidRPr="00C16CE6" w:rsidRDefault="007C6A99" w:rsidP="00EF7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 xml:space="preserve">Use of transcervical procedures for terminating pregnancy, including vacuum aspiration and dilatation and evacuation (D&amp;E) </w:t>
            </w:r>
          </w:p>
        </w:tc>
      </w:tr>
      <w:tr w:rsidR="00260299" w:rsidRPr="00C16CE6" w14:paraId="7E420282"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7E75B41D" w14:textId="06DA13B5" w:rsidR="00260299" w:rsidRPr="00B257E3" w:rsidRDefault="00260299" w:rsidP="00EF7F7C">
            <w:r>
              <w:t xml:space="preserve">Termination of pregnancy </w:t>
            </w:r>
          </w:p>
        </w:tc>
        <w:tc>
          <w:tcPr>
            <w:tcW w:w="0" w:type="auto"/>
          </w:tcPr>
          <w:p w14:paraId="048BB240" w14:textId="5ECFB0E8" w:rsidR="00260299" w:rsidRDefault="00260299" w:rsidP="00EF7F7C">
            <w:pPr>
              <w:cnfStyle w:val="000000000000" w:firstRow="0" w:lastRow="0" w:firstColumn="0" w:lastColumn="0" w:oddVBand="0" w:evenVBand="0" w:oddHBand="0" w:evenHBand="0" w:firstRowFirstColumn="0" w:firstRowLastColumn="0" w:lastRowFirstColumn="0" w:lastRowLastColumn="0"/>
            </w:pPr>
            <w:r>
              <w:t>As per the CTOP Act, the separation and expulsion, by medical or surgical means, of the contents of the uterus of a pregnant woman</w:t>
            </w:r>
            <w:r w:rsidR="00BC6A0F">
              <w:t xml:space="preserve">. </w:t>
            </w:r>
          </w:p>
        </w:tc>
      </w:tr>
      <w:tr w:rsidR="00EF7F7C" w:rsidRPr="00C16CE6" w14:paraId="60EB7D0A" w14:textId="77777777" w:rsidTr="00B3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ABC4D2" w14:textId="77777777" w:rsidR="00EF7F7C" w:rsidRPr="00C16CE6" w:rsidRDefault="00EF7F7C" w:rsidP="00EF7F7C">
            <w:pPr>
              <w:rPr>
                <w:rFonts w:cstheme="minorHAnsi"/>
                <w:sz w:val="20"/>
                <w:szCs w:val="20"/>
              </w:rPr>
            </w:pPr>
            <w:r w:rsidRPr="00B257E3">
              <w:t>Trained providers</w:t>
            </w:r>
          </w:p>
        </w:tc>
        <w:tc>
          <w:tcPr>
            <w:tcW w:w="0" w:type="auto"/>
          </w:tcPr>
          <w:p w14:paraId="0DAA7F8A" w14:textId="77777777" w:rsidR="00EF7F7C" w:rsidRPr="00C16CE6" w:rsidRDefault="00EF7F7C" w:rsidP="00EF7F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The</w:t>
            </w:r>
            <w:r w:rsidRPr="00B257E3">
              <w:t xml:space="preserve"> registered practitioners and counsellors who have </w:t>
            </w:r>
            <w:r>
              <w:t>completed the prescribed</w:t>
            </w:r>
            <w:r w:rsidRPr="00B257E3">
              <w:t xml:space="preserve"> termination of pregnancy </w:t>
            </w:r>
            <w:r>
              <w:t xml:space="preserve">services </w:t>
            </w:r>
            <w:r w:rsidRPr="00B257E3">
              <w:t>training</w:t>
            </w:r>
            <w:r>
              <w:t xml:space="preserve">. </w:t>
            </w:r>
          </w:p>
        </w:tc>
      </w:tr>
      <w:tr w:rsidR="00C926FC" w:rsidRPr="00C16CE6" w14:paraId="741A042F" w14:textId="77777777" w:rsidTr="00B353F2">
        <w:tc>
          <w:tcPr>
            <w:cnfStyle w:val="001000000000" w:firstRow="0" w:lastRow="0" w:firstColumn="1" w:lastColumn="0" w:oddVBand="0" w:evenVBand="0" w:oddHBand="0" w:evenHBand="0" w:firstRowFirstColumn="0" w:firstRowLastColumn="0" w:lastRowFirstColumn="0" w:lastRowLastColumn="0"/>
            <w:tcW w:w="0" w:type="auto"/>
          </w:tcPr>
          <w:p w14:paraId="57BA3FBC" w14:textId="633EC24C" w:rsidR="00C926FC" w:rsidRPr="00B257E3" w:rsidRDefault="00C926FC" w:rsidP="00EF7F7C">
            <w:r>
              <w:t xml:space="preserve">Unsafe </w:t>
            </w:r>
            <w:r w:rsidR="00CD0095">
              <w:t xml:space="preserve">termination of pregnancy </w:t>
            </w:r>
          </w:p>
        </w:tc>
        <w:tc>
          <w:tcPr>
            <w:tcW w:w="0" w:type="auto"/>
          </w:tcPr>
          <w:p w14:paraId="1F2BF31B" w14:textId="1793226A" w:rsidR="00C926FC" w:rsidRPr="00C926FC" w:rsidRDefault="007C6A99" w:rsidP="00EF7F7C">
            <w:pPr>
              <w:cnfStyle w:val="000000000000" w:firstRow="0" w:lastRow="0" w:firstColumn="0" w:lastColumn="0" w:oddVBand="0" w:evenVBand="0" w:oddHBand="0" w:evenHBand="0" w:firstRowFirstColumn="0" w:firstRowLastColumn="0" w:lastRowFirstColumn="0" w:lastRowLastColumn="0"/>
              <w:rPr>
                <w:lang w:val="en-US"/>
              </w:rPr>
            </w:pPr>
            <w:r>
              <w:rPr>
                <w:lang w:val="en-US"/>
              </w:rPr>
              <w:t>A</w:t>
            </w:r>
            <w:r w:rsidR="00C926FC" w:rsidRPr="00C926FC">
              <w:rPr>
                <w:lang w:val="en-US"/>
              </w:rPr>
              <w:t xml:space="preserve"> procedure for terminating an unintended pregnancy carried out either by persons lacking the necessary skills or in an environment that does not conform to minimal medical standards, or both.</w:t>
            </w:r>
          </w:p>
        </w:tc>
      </w:tr>
    </w:tbl>
    <w:p w14:paraId="32EBE52D" w14:textId="279AC4CF" w:rsidR="00A52F33" w:rsidRPr="00C16CE6" w:rsidRDefault="00A52F33" w:rsidP="001244A3"/>
    <w:p w14:paraId="777D02ED" w14:textId="11E6341D" w:rsidR="00A52F33" w:rsidRPr="00C16CE6" w:rsidRDefault="00A52F33" w:rsidP="001244A3"/>
    <w:p w14:paraId="3467A2F3" w14:textId="77777777" w:rsidR="00A52F33" w:rsidRDefault="00A52F33" w:rsidP="001244A3"/>
    <w:p w14:paraId="4FBCD0F4" w14:textId="77777777" w:rsidR="00C926FC" w:rsidRDefault="00C926FC" w:rsidP="001244A3"/>
    <w:p w14:paraId="338B696B" w14:textId="06E30ED6" w:rsidR="00C926FC" w:rsidRPr="00C16CE6" w:rsidRDefault="00C926FC" w:rsidP="001244A3">
      <w:pPr>
        <w:sectPr w:rsidR="00C926FC" w:rsidRPr="00C16CE6" w:rsidSect="006970B4">
          <w:pgSz w:w="12240" w:h="15840"/>
          <w:pgMar w:top="1440" w:right="1440" w:bottom="1440" w:left="1440" w:header="720" w:footer="720" w:gutter="0"/>
          <w:pgNumType w:fmt="lowerRoman"/>
          <w:cols w:space="720"/>
          <w:docGrid w:linePitch="360"/>
        </w:sectPr>
      </w:pPr>
    </w:p>
    <w:p w14:paraId="6352B5B3" w14:textId="16B0864E" w:rsidR="00A52F33" w:rsidRPr="00C16CE6" w:rsidRDefault="00D30126" w:rsidP="001244A3">
      <w:pPr>
        <w:pStyle w:val="Heading1"/>
        <w:numPr>
          <w:ilvl w:val="0"/>
          <w:numId w:val="0"/>
        </w:numPr>
      </w:pPr>
      <w:bookmarkStart w:id="14" w:name="_Toc8387189"/>
      <w:r>
        <w:lastRenderedPageBreak/>
        <w:t>Preamble</w:t>
      </w:r>
      <w:bookmarkEnd w:id="14"/>
      <w:r>
        <w:t xml:space="preserve"> </w:t>
      </w:r>
    </w:p>
    <w:p w14:paraId="27581EA0" w14:textId="60687576" w:rsidR="00A52F33" w:rsidRPr="00C16CE6" w:rsidRDefault="00A52F33" w:rsidP="001244A3"/>
    <w:p w14:paraId="35524462" w14:textId="5C1E1950" w:rsidR="00FA241C" w:rsidRDefault="00FA241C" w:rsidP="00FA241C">
      <w:pPr>
        <w:rPr>
          <w:b/>
        </w:rPr>
      </w:pPr>
      <w:bookmarkStart w:id="15" w:name="_Toc523943827"/>
      <w:bookmarkStart w:id="16" w:name="_Toc523943828"/>
      <w:bookmarkStart w:id="17" w:name="_Toc523943829"/>
      <w:bookmarkStart w:id="18" w:name="_Toc523943831"/>
      <w:bookmarkStart w:id="19" w:name="_Toc523943834"/>
      <w:bookmarkStart w:id="20" w:name="_Toc523943836"/>
      <w:bookmarkStart w:id="21" w:name="_Toc523943838"/>
      <w:bookmarkStart w:id="22" w:name="_Toc523943839"/>
      <w:bookmarkStart w:id="23" w:name="_Toc523943840"/>
      <w:bookmarkStart w:id="24" w:name="_Toc523943841"/>
      <w:bookmarkEnd w:id="15"/>
      <w:bookmarkEnd w:id="16"/>
      <w:bookmarkEnd w:id="17"/>
      <w:bookmarkEnd w:id="18"/>
      <w:bookmarkEnd w:id="19"/>
      <w:bookmarkEnd w:id="20"/>
      <w:bookmarkEnd w:id="21"/>
      <w:bookmarkEnd w:id="22"/>
      <w:bookmarkEnd w:id="23"/>
      <w:r>
        <w:t xml:space="preserve">The National Guideline for Implementation of Choice on Termination of Pregnancy Act provides additional context based on information that may not be available in the </w:t>
      </w:r>
      <w:r w:rsidRPr="00D72976">
        <w:rPr>
          <w:i/>
        </w:rPr>
        <w:t xml:space="preserve">Choice on Termination of Pregnancy Act </w:t>
      </w:r>
      <w:r>
        <w:rPr>
          <w:i/>
        </w:rPr>
        <w:t xml:space="preserve">92 </w:t>
      </w:r>
      <w:r w:rsidRPr="00D72976">
        <w:rPr>
          <w:i/>
        </w:rPr>
        <w:t>of 1996,</w:t>
      </w:r>
      <w:r>
        <w:t xml:space="preserve"> the </w:t>
      </w:r>
      <w:r>
        <w:rPr>
          <w:i/>
        </w:rPr>
        <w:t xml:space="preserve">CTOP Amendment Act 38 of 2004, the CTOP Amendment Act 1 of </w:t>
      </w:r>
      <w:r w:rsidRPr="00D72976">
        <w:rPr>
          <w:i/>
        </w:rPr>
        <w:t>2008</w:t>
      </w:r>
      <w:r>
        <w:rPr>
          <w:i/>
        </w:rPr>
        <w:t>, Regulations under the Choice of the Termination of Pregnancy Act, 1996,</w:t>
      </w:r>
      <w:r>
        <w:t xml:space="preserve"> or the </w:t>
      </w:r>
      <w:r w:rsidRPr="00D72976">
        <w:rPr>
          <w:i/>
        </w:rPr>
        <w:t xml:space="preserve">Integrated Sexual </w:t>
      </w:r>
      <w:r>
        <w:rPr>
          <w:i/>
        </w:rPr>
        <w:t>and</w:t>
      </w:r>
      <w:r w:rsidRPr="00D72976">
        <w:rPr>
          <w:i/>
        </w:rPr>
        <w:t xml:space="preserve"> Reproductive Health </w:t>
      </w:r>
      <w:r>
        <w:rPr>
          <w:i/>
        </w:rPr>
        <w:t xml:space="preserve">and Rights </w:t>
      </w:r>
      <w:r w:rsidRPr="00D72976">
        <w:rPr>
          <w:i/>
        </w:rPr>
        <w:t>Policy</w:t>
      </w:r>
      <w:r>
        <w:rPr>
          <w:color w:val="000000"/>
        </w:rPr>
        <w:t xml:space="preserve"> </w:t>
      </w:r>
      <w:r w:rsidRPr="00D72976">
        <w:rPr>
          <w:i/>
          <w:color w:val="000000"/>
        </w:rPr>
        <w:t>(2018)</w:t>
      </w:r>
      <w:r>
        <w:rPr>
          <w:color w:val="000000"/>
        </w:rPr>
        <w:t xml:space="preserve">.  </w:t>
      </w:r>
    </w:p>
    <w:p w14:paraId="6CD15261" w14:textId="77777777" w:rsidR="00FA241C" w:rsidRDefault="00FA241C" w:rsidP="00626603">
      <w:pPr>
        <w:rPr>
          <w:lang w:val="en-ZA"/>
        </w:rPr>
      </w:pPr>
    </w:p>
    <w:p w14:paraId="098CC0F6" w14:textId="09BDFFD6" w:rsidR="00626603" w:rsidRDefault="00D30126" w:rsidP="00626603">
      <w:pPr>
        <w:rPr>
          <w:szCs w:val="22"/>
        </w:rPr>
      </w:pPr>
      <w:r>
        <w:rPr>
          <w:lang w:val="en-ZA"/>
        </w:rPr>
        <w:t>Additionally, t</w:t>
      </w:r>
      <w:r w:rsidRPr="00D30126">
        <w:rPr>
          <w:lang w:val="en-ZA"/>
        </w:rPr>
        <w:t>his</w:t>
      </w:r>
      <w:r>
        <w:rPr>
          <w:b/>
          <w:lang w:val="en-ZA"/>
        </w:rPr>
        <w:t xml:space="preserve"> </w:t>
      </w:r>
      <w:r w:rsidR="00626603" w:rsidRPr="00626603">
        <w:rPr>
          <w:lang w:val="en-ZA"/>
        </w:rPr>
        <w:t>guideline is a critical piece of the broader effort to take a comprehensive approach to reproductive health in South Africa, which not only improves population health, but follows human rights principles to enhance access, choice</w:t>
      </w:r>
      <w:r w:rsidR="00626603">
        <w:rPr>
          <w:lang w:val="en-ZA"/>
        </w:rPr>
        <w:t>,</w:t>
      </w:r>
      <w:r w:rsidR="00626603" w:rsidRPr="00626603">
        <w:rPr>
          <w:lang w:val="en-ZA"/>
        </w:rPr>
        <w:t xml:space="preserve"> and dignity for </w:t>
      </w:r>
      <w:r w:rsidR="007E04D7">
        <w:rPr>
          <w:lang w:val="en-ZA"/>
        </w:rPr>
        <w:t>individual</w:t>
      </w:r>
      <w:r w:rsidR="00626603" w:rsidRPr="00626603">
        <w:rPr>
          <w:lang w:val="en-ZA"/>
        </w:rPr>
        <w:t xml:space="preserve">s who seek care. </w:t>
      </w:r>
      <w:r w:rsidR="00443A17">
        <w:rPr>
          <w:lang w:val="en-ZA"/>
        </w:rPr>
        <w:t xml:space="preserve">Accordingly, </w:t>
      </w:r>
      <w:r w:rsidR="00443A17">
        <w:rPr>
          <w:szCs w:val="22"/>
        </w:rPr>
        <w:t>this guideline</w:t>
      </w:r>
      <w:r w:rsidR="00443A17" w:rsidRPr="0086330A">
        <w:rPr>
          <w:szCs w:val="22"/>
        </w:rPr>
        <w:t xml:space="preserve"> should be read </w:t>
      </w:r>
      <w:r w:rsidR="00443A17">
        <w:rPr>
          <w:szCs w:val="22"/>
        </w:rPr>
        <w:t xml:space="preserve">in tandem </w:t>
      </w:r>
      <w:r w:rsidR="00443A17" w:rsidRPr="0086330A">
        <w:rPr>
          <w:szCs w:val="22"/>
        </w:rPr>
        <w:t xml:space="preserve">with the </w:t>
      </w:r>
      <w:r w:rsidR="00443A17" w:rsidRPr="003D3177">
        <w:rPr>
          <w:szCs w:val="22"/>
        </w:rPr>
        <w:t>S</w:t>
      </w:r>
      <w:r w:rsidR="00443A17">
        <w:rPr>
          <w:szCs w:val="22"/>
        </w:rPr>
        <w:t>outh Africa</w:t>
      </w:r>
      <w:r w:rsidR="00443A17" w:rsidRPr="003D3177">
        <w:rPr>
          <w:szCs w:val="22"/>
        </w:rPr>
        <w:t xml:space="preserve"> National Integrated Sexual and Reproductive Health and Rights </w:t>
      </w:r>
      <w:r w:rsidR="00E431F1">
        <w:rPr>
          <w:szCs w:val="22"/>
        </w:rPr>
        <w:t xml:space="preserve">(SRH&amp;R) </w:t>
      </w:r>
      <w:r w:rsidR="00443A17" w:rsidRPr="003D3177">
        <w:rPr>
          <w:szCs w:val="22"/>
        </w:rPr>
        <w:t>Policy (</w:t>
      </w:r>
      <w:r w:rsidR="00443A17">
        <w:rPr>
          <w:szCs w:val="22"/>
        </w:rPr>
        <w:t>2019</w:t>
      </w:r>
      <w:r w:rsidR="00443A17" w:rsidRPr="003D3177">
        <w:rPr>
          <w:szCs w:val="22"/>
        </w:rPr>
        <w:t xml:space="preserve">) and used together with other related guidelines </w:t>
      </w:r>
      <w:r w:rsidR="00443A17">
        <w:rPr>
          <w:szCs w:val="22"/>
        </w:rPr>
        <w:t>on</w:t>
      </w:r>
      <w:r w:rsidR="00443A17" w:rsidRPr="003D3177">
        <w:rPr>
          <w:szCs w:val="22"/>
        </w:rPr>
        <w:t xml:space="preserve"> contraception, fertility and safe conception</w:t>
      </w:r>
      <w:r w:rsidR="00443A17">
        <w:rPr>
          <w:szCs w:val="22"/>
        </w:rPr>
        <w:t>,</w:t>
      </w:r>
      <w:r w:rsidR="00443A17" w:rsidRPr="003D3177">
        <w:rPr>
          <w:szCs w:val="22"/>
        </w:rPr>
        <w:t xml:space="preserve"> </w:t>
      </w:r>
      <w:r w:rsidR="00443A17">
        <w:rPr>
          <w:szCs w:val="22"/>
        </w:rPr>
        <w:t>and the</w:t>
      </w:r>
      <w:r w:rsidR="00443A17" w:rsidRPr="003D3177">
        <w:rPr>
          <w:szCs w:val="22"/>
        </w:rPr>
        <w:t xml:space="preserve"> c</w:t>
      </w:r>
      <w:r w:rsidR="00443A17">
        <w:rPr>
          <w:szCs w:val="22"/>
        </w:rPr>
        <w:t>omprehensive management of sexually transmitted infection</w:t>
      </w:r>
      <w:r w:rsidR="00443A17" w:rsidRPr="003D3177">
        <w:rPr>
          <w:szCs w:val="22"/>
        </w:rPr>
        <w:t>s</w:t>
      </w:r>
      <w:r w:rsidR="00443A17">
        <w:rPr>
          <w:szCs w:val="22"/>
        </w:rPr>
        <w:t xml:space="preserve">, </w:t>
      </w:r>
      <w:r w:rsidR="00443A17" w:rsidRPr="003D3177">
        <w:rPr>
          <w:szCs w:val="22"/>
        </w:rPr>
        <w:t>among others.</w:t>
      </w:r>
    </w:p>
    <w:p w14:paraId="590C6C30" w14:textId="4C9F5729" w:rsidR="00FA241C" w:rsidRDefault="00FA241C" w:rsidP="00626603">
      <w:pPr>
        <w:rPr>
          <w:szCs w:val="22"/>
        </w:rPr>
      </w:pPr>
    </w:p>
    <w:p w14:paraId="79CB9F70" w14:textId="4BD6BB8B" w:rsidR="00FA241C" w:rsidRDefault="00FA241C" w:rsidP="00FA241C">
      <w:pPr>
        <w:rPr>
          <w:lang w:val="en-ZA"/>
        </w:rPr>
      </w:pPr>
      <w:r w:rsidRPr="00D30126">
        <w:rPr>
          <w:lang w:val="en-ZA"/>
        </w:rPr>
        <w:t>To note,</w:t>
      </w:r>
      <w:r>
        <w:rPr>
          <w:lang w:val="en-ZA"/>
        </w:rPr>
        <w:t xml:space="preserve"> t</w:t>
      </w:r>
      <w:r w:rsidRPr="00626603">
        <w:rPr>
          <w:lang w:val="en-ZA"/>
        </w:rPr>
        <w:t xml:space="preserve">ermination of pregnancy (TOP) is referred to in this </w:t>
      </w:r>
      <w:r>
        <w:rPr>
          <w:lang w:val="en-ZA"/>
        </w:rPr>
        <w:t>guideline</w:t>
      </w:r>
      <w:r w:rsidRPr="00626603">
        <w:rPr>
          <w:lang w:val="en-ZA"/>
        </w:rPr>
        <w:t xml:space="preserve"> to ensure a clear alignment with South Africa’s CTOP Act and refers to the conditions of legal termination during the whole of pregnancy. It is recognized that globally</w:t>
      </w:r>
      <w:r>
        <w:rPr>
          <w:lang w:val="en-ZA"/>
        </w:rPr>
        <w:t>, the terms</w:t>
      </w:r>
      <w:r w:rsidRPr="00626603">
        <w:rPr>
          <w:lang w:val="en-ZA"/>
        </w:rPr>
        <w:t xml:space="preserve"> “abortion” and </w:t>
      </w:r>
      <w:r>
        <w:rPr>
          <w:lang w:val="en-ZA"/>
        </w:rPr>
        <w:t>“</w:t>
      </w:r>
      <w:r w:rsidRPr="00626603">
        <w:rPr>
          <w:lang w:val="en-ZA"/>
        </w:rPr>
        <w:t>induced abortion</w:t>
      </w:r>
      <w:r>
        <w:rPr>
          <w:lang w:val="en-ZA"/>
        </w:rPr>
        <w:t xml:space="preserve">” are </w:t>
      </w:r>
      <w:r w:rsidR="00E478AD">
        <w:rPr>
          <w:lang w:val="en-ZA"/>
        </w:rPr>
        <w:t>considered</w:t>
      </w:r>
      <w:r w:rsidRPr="00626603">
        <w:rPr>
          <w:lang w:val="en-ZA"/>
        </w:rPr>
        <w:t xml:space="preserve"> terminology for vol</w:t>
      </w:r>
      <w:r>
        <w:rPr>
          <w:lang w:val="en-ZA"/>
        </w:rPr>
        <w:t xml:space="preserve">untary termination of pregnancy. </w:t>
      </w:r>
    </w:p>
    <w:p w14:paraId="17DFA50D" w14:textId="77777777" w:rsidR="00FA241C" w:rsidRDefault="00FA241C" w:rsidP="00626603">
      <w:pPr>
        <w:rPr>
          <w:lang w:val="en-ZA"/>
        </w:rPr>
      </w:pPr>
    </w:p>
    <w:p w14:paraId="3CD4F30E" w14:textId="507D3355" w:rsidR="00626603" w:rsidRDefault="00626603" w:rsidP="00626603">
      <w:pPr>
        <w:rPr>
          <w:lang w:val="en-ZA"/>
        </w:rPr>
      </w:pPr>
    </w:p>
    <w:p w14:paraId="7570262F" w14:textId="77777777" w:rsidR="00C1717A" w:rsidRPr="00C16CE6" w:rsidRDefault="00C1717A" w:rsidP="001244A3"/>
    <w:p w14:paraId="2C5DDC5D" w14:textId="77777777" w:rsidR="00622C60" w:rsidRPr="00C16CE6" w:rsidRDefault="00622C60" w:rsidP="001244A3">
      <w:pPr>
        <w:spacing w:line="240" w:lineRule="auto"/>
        <w:rPr>
          <w:rFonts w:eastAsiaTheme="majorEastAsia" w:cstheme="minorHAnsi"/>
          <w:b/>
          <w:color w:val="009051"/>
          <w:sz w:val="28"/>
          <w:szCs w:val="28"/>
        </w:rPr>
      </w:pPr>
      <w:r w:rsidRPr="00C16CE6">
        <w:br w:type="page"/>
      </w:r>
    </w:p>
    <w:p w14:paraId="594077EE" w14:textId="20D7EA7C" w:rsidR="00456ABB" w:rsidRPr="00C16CE6" w:rsidRDefault="00456ABB" w:rsidP="001244A3">
      <w:pPr>
        <w:pStyle w:val="Heading1"/>
      </w:pPr>
      <w:bookmarkStart w:id="25" w:name="_Toc530407825"/>
      <w:bookmarkStart w:id="26" w:name="_Toc8387190"/>
      <w:bookmarkEnd w:id="24"/>
      <w:r w:rsidRPr="00C16CE6">
        <w:lastRenderedPageBreak/>
        <w:t>Introduction</w:t>
      </w:r>
      <w:bookmarkEnd w:id="25"/>
      <w:bookmarkEnd w:id="26"/>
    </w:p>
    <w:p w14:paraId="1E048FAA" w14:textId="77777777" w:rsidR="00507A4F" w:rsidRDefault="00507A4F" w:rsidP="00A47EB5"/>
    <w:p w14:paraId="2C74F8C3" w14:textId="7CA914D9" w:rsidR="00B3131A" w:rsidRPr="00507A4F" w:rsidRDefault="00E271B0" w:rsidP="00507A4F">
      <w:pPr>
        <w:pStyle w:val="Heading2"/>
        <w:rPr>
          <w:lang w:val="en-ZA"/>
        </w:rPr>
      </w:pPr>
      <w:bookmarkStart w:id="27" w:name="_Toc8387191"/>
      <w:bookmarkStart w:id="28" w:name="_Toc525688577"/>
      <w:r>
        <w:rPr>
          <w:lang w:val="en-ZA"/>
        </w:rPr>
        <w:t>Background</w:t>
      </w:r>
      <w:bookmarkEnd w:id="27"/>
      <w:r>
        <w:rPr>
          <w:lang w:val="en-ZA"/>
        </w:rPr>
        <w:t xml:space="preserve"> </w:t>
      </w:r>
      <w:bookmarkEnd w:id="28"/>
    </w:p>
    <w:p w14:paraId="499BAF5E" w14:textId="77777777" w:rsidR="00507A4F" w:rsidRDefault="00507A4F" w:rsidP="00507A4F">
      <w:pPr>
        <w:rPr>
          <w:lang w:val="en-ZA"/>
        </w:rPr>
      </w:pPr>
    </w:p>
    <w:p w14:paraId="6B3A4937" w14:textId="19AB29DE" w:rsidR="00801319" w:rsidRDefault="004F2FE4" w:rsidP="003F15CC">
      <w:pPr>
        <w:rPr>
          <w:lang w:val="en-ZA"/>
        </w:rPr>
      </w:pPr>
      <w:r>
        <w:rPr>
          <w:lang w:val="en-ZA"/>
        </w:rPr>
        <w:t>South Africa’s landmark</w:t>
      </w:r>
      <w:r w:rsidR="00801319">
        <w:rPr>
          <w:lang w:val="en-ZA"/>
        </w:rPr>
        <w:t xml:space="preserve"> </w:t>
      </w:r>
      <w:r w:rsidR="009948EA">
        <w:rPr>
          <w:lang w:val="en-ZA"/>
        </w:rPr>
        <w:t xml:space="preserve">CTOP Act of 1996 </w:t>
      </w:r>
      <w:r>
        <w:rPr>
          <w:lang w:val="en-ZA"/>
        </w:rPr>
        <w:t>was enacted in December</w:t>
      </w:r>
      <w:r w:rsidR="00801319">
        <w:rPr>
          <w:lang w:val="en-ZA"/>
        </w:rPr>
        <w:t xml:space="preserve"> 199</w:t>
      </w:r>
      <w:r>
        <w:rPr>
          <w:lang w:val="en-ZA"/>
        </w:rPr>
        <w:t xml:space="preserve">6 and came into effect in February </w:t>
      </w:r>
      <w:r w:rsidR="00801319">
        <w:rPr>
          <w:lang w:val="en-ZA"/>
        </w:rPr>
        <w:t>1997</w:t>
      </w:r>
      <w:r>
        <w:rPr>
          <w:lang w:val="en-ZA"/>
        </w:rPr>
        <w:t xml:space="preserve">. </w:t>
      </w:r>
      <w:r w:rsidR="009253A9">
        <w:rPr>
          <w:lang w:val="en-ZA"/>
        </w:rPr>
        <w:t>The CTOP Act represented</w:t>
      </w:r>
      <w:r w:rsidR="00801319">
        <w:rPr>
          <w:lang w:val="en-ZA"/>
        </w:rPr>
        <w:t xml:space="preserve"> ground-breaking and progressive policy change that enables strengthened </w:t>
      </w:r>
      <w:r w:rsidR="006B67A9" w:rsidRPr="00507A4F">
        <w:rPr>
          <w:lang w:val="en-ZA"/>
        </w:rPr>
        <w:t>sexual and reproductive health rights</w:t>
      </w:r>
      <w:r w:rsidR="00507A4F">
        <w:rPr>
          <w:lang w:val="en-ZA"/>
        </w:rPr>
        <w:t xml:space="preserve"> (SRH</w:t>
      </w:r>
      <w:r w:rsidR="009948EA">
        <w:rPr>
          <w:lang w:val="en-ZA"/>
        </w:rPr>
        <w:t>&amp;</w:t>
      </w:r>
      <w:r w:rsidR="00507A4F">
        <w:rPr>
          <w:lang w:val="en-ZA"/>
        </w:rPr>
        <w:t>R)</w:t>
      </w:r>
      <w:r w:rsidR="006B67A9" w:rsidRPr="00507A4F">
        <w:rPr>
          <w:lang w:val="en-ZA"/>
        </w:rPr>
        <w:t xml:space="preserve"> and serves as a </w:t>
      </w:r>
      <w:r w:rsidR="009948EA">
        <w:rPr>
          <w:lang w:val="en-ZA"/>
        </w:rPr>
        <w:t xml:space="preserve">global </w:t>
      </w:r>
      <w:r>
        <w:rPr>
          <w:lang w:val="en-ZA"/>
        </w:rPr>
        <w:t xml:space="preserve">model for the reform of </w:t>
      </w:r>
      <w:r w:rsidR="00A47E94">
        <w:rPr>
          <w:lang w:val="en-ZA"/>
        </w:rPr>
        <w:t>termination of pregnancy</w:t>
      </w:r>
      <w:r w:rsidR="009948EA">
        <w:rPr>
          <w:lang w:val="en-ZA"/>
        </w:rPr>
        <w:t xml:space="preserve"> law</w:t>
      </w:r>
      <w:r w:rsidR="00507A4F">
        <w:rPr>
          <w:lang w:val="en-ZA"/>
        </w:rPr>
        <w:t xml:space="preserve">. </w:t>
      </w:r>
      <w:r w:rsidR="006B67A9" w:rsidRPr="00507A4F">
        <w:rPr>
          <w:lang w:val="en-ZA"/>
        </w:rPr>
        <w:t xml:space="preserve">Following this Act, </w:t>
      </w:r>
      <w:r w:rsidR="00A47E94">
        <w:rPr>
          <w:lang w:val="en-ZA"/>
        </w:rPr>
        <w:t>TOP</w:t>
      </w:r>
      <w:r w:rsidR="006B67A9" w:rsidRPr="00507A4F">
        <w:rPr>
          <w:lang w:val="en-ZA"/>
        </w:rPr>
        <w:t xml:space="preserve">-related deaths and </w:t>
      </w:r>
      <w:r w:rsidR="00801319">
        <w:rPr>
          <w:lang w:val="en-ZA"/>
        </w:rPr>
        <w:t>complications</w:t>
      </w:r>
      <w:r w:rsidR="009253A9">
        <w:rPr>
          <w:lang w:val="en-ZA"/>
        </w:rPr>
        <w:t xml:space="preserve"> in South Africa</w:t>
      </w:r>
      <w:r w:rsidR="00801319">
        <w:rPr>
          <w:lang w:val="en-ZA"/>
        </w:rPr>
        <w:t xml:space="preserve"> </w:t>
      </w:r>
      <w:r w:rsidR="006B67A9" w:rsidRPr="00507A4F">
        <w:rPr>
          <w:lang w:val="en-ZA"/>
        </w:rPr>
        <w:t xml:space="preserve">decreased by </w:t>
      </w:r>
      <w:r w:rsidR="00801319">
        <w:rPr>
          <w:lang w:val="en-ZA"/>
        </w:rPr>
        <w:t>over 90</w:t>
      </w:r>
      <w:r w:rsidR="006B67A9" w:rsidRPr="00507A4F">
        <w:rPr>
          <w:lang w:val="en-ZA"/>
        </w:rPr>
        <w:t>% between 1997 and 200</w:t>
      </w:r>
      <w:r w:rsidR="00507A4F">
        <w:rPr>
          <w:lang w:val="en-ZA"/>
        </w:rPr>
        <w:t>2.</w:t>
      </w:r>
      <w:r w:rsidR="003F15CC">
        <w:rPr>
          <w:lang w:val="en-ZA"/>
        </w:rPr>
        <w:fldChar w:fldCharType="begin"/>
      </w:r>
      <w:r w:rsidR="005A01B7">
        <w:rPr>
          <w:lang w:val="en-ZA"/>
        </w:rPr>
        <w:instrText xml:space="preserve"> ADDIN EN.CITE &lt;EndNote&gt;&lt;Cite&gt;&lt;Author&gt;Jewkes&lt;/Author&gt;&lt;Year&gt;2005&lt;/Year&gt;&lt;RecNum&gt;245&lt;/RecNum&gt;&lt;DisplayText&gt;&lt;style face="superscript"&gt;5&lt;/style&gt;&lt;/DisplayText&gt;&lt;record&gt;&lt;rec-number&gt;245&lt;/rec-number&gt;&lt;foreign-keys&gt;&lt;key app="EN" db-id="eare2taxlax2sqezt0kv0afm2vr2vt95dwsz" timestamp="1543209824"&gt;245&lt;/key&gt;&lt;/foreign-keys&gt;&lt;ref-type name="Journal Article"&gt;17&lt;/ref-type&gt;&lt;contributors&gt;&lt;authors&gt;&lt;author&gt;Jewkes, R.&lt;/author&gt;&lt;author&gt;Rees, H.&lt;/author&gt;&lt;author&gt;Dickson, K.&lt;/author&gt;&lt;author&gt;Brown, H.&lt;/author&gt;&lt;author&gt;Levin, J.&lt;/author&gt;&lt;/authors&gt;&lt;/contributors&gt;&lt;auth-address&gt;Medical Research Council, Gender and Health Group, Pretoria 0001, South Africa.&lt;/auth-address&gt;&lt;titles&gt;&lt;title&gt;The impact of age on the epidemiology of incomplete abortions in South Africa after legislative change&lt;/title&gt;&lt;secondary-title&gt;Bjog&lt;/secondary-title&gt;&lt;alt-title&gt;BJOG : an international journal of obstetrics and gynaecology&lt;/alt-title&gt;&lt;/titles&gt;&lt;periodical&gt;&lt;full-title&gt;BJOG&lt;/full-title&gt;&lt;/periodical&gt;&lt;pages&gt;355-9&lt;/pages&gt;&lt;volume&gt;112&lt;/volume&gt;&lt;number&gt;3&lt;/number&gt;&lt;edition&gt;2005/02/17&lt;/edition&gt;&lt;keywords&gt;&lt;keyword&gt;Abortion, Incomplete/*epidemiology/mortality&lt;/keyword&gt;&lt;keyword&gt;Abortion, Legal/legislation &amp;amp; jurisprudence/mortality/*standards&lt;/keyword&gt;&lt;keyword&gt;Adolescent&lt;/keyword&gt;&lt;keyword&gt;Adult&lt;/keyword&gt;&lt;keyword&gt;Age Factors&lt;/keyword&gt;&lt;keyword&gt;Female&lt;/keyword&gt;&lt;keyword&gt;Humans&lt;/keyword&gt;&lt;keyword&gt;Incidence&lt;/keyword&gt;&lt;keyword&gt;Maternal Mortality/trends&lt;/keyword&gt;&lt;keyword&gt;Middle Aged&lt;/keyword&gt;&lt;keyword&gt;Parity&lt;/keyword&gt;&lt;keyword&gt;Pregnancy&lt;/keyword&gt;&lt;keyword&gt;Pregnancy Complications, Infectious/epidemiology&lt;/keyword&gt;&lt;keyword&gt;Prospective Studies&lt;/keyword&gt;&lt;keyword&gt;South Africa/epidemiology&lt;/keyword&gt;&lt;/keywords&gt;&lt;dates&gt;&lt;year&gt;2005&lt;/year&gt;&lt;pub-dates&gt;&lt;date&gt;Mar&lt;/date&gt;&lt;/pub-dates&gt;&lt;/dates&gt;&lt;isbn&gt;1470-0328 (Print)&amp;#xD;1470-0328&lt;/isbn&gt;&lt;accession-num&gt;15713153&lt;/accession-num&gt;&lt;urls&gt;&lt;/urls&gt;&lt;electronic-resource-num&gt;10.1111/j.1471-0528.2004.00422.x&lt;/electronic-resource-num&gt;&lt;remote-database-provider&gt;NLM&lt;/remote-database-provider&gt;&lt;language&gt;eng&lt;/language&gt;&lt;/record&gt;&lt;/Cite&gt;&lt;/EndNote&gt;</w:instrText>
      </w:r>
      <w:r w:rsidR="003F15CC">
        <w:rPr>
          <w:lang w:val="en-ZA"/>
        </w:rPr>
        <w:fldChar w:fldCharType="separate"/>
      </w:r>
      <w:r w:rsidR="005A01B7" w:rsidRPr="005A01B7">
        <w:rPr>
          <w:noProof/>
          <w:vertAlign w:val="superscript"/>
          <w:lang w:val="en-ZA"/>
        </w:rPr>
        <w:t>5</w:t>
      </w:r>
      <w:r w:rsidR="003F15CC">
        <w:rPr>
          <w:lang w:val="en-ZA"/>
        </w:rPr>
        <w:fldChar w:fldCharType="end"/>
      </w:r>
      <w:r w:rsidR="00403912">
        <w:rPr>
          <w:lang w:val="en-ZA"/>
        </w:rPr>
        <w:t xml:space="preserve"> </w:t>
      </w:r>
    </w:p>
    <w:p w14:paraId="47E71C69" w14:textId="77777777" w:rsidR="00801319" w:rsidRDefault="00801319" w:rsidP="003F15CC">
      <w:pPr>
        <w:rPr>
          <w:lang w:val="en-ZA"/>
        </w:rPr>
      </w:pPr>
    </w:p>
    <w:p w14:paraId="7B79050A" w14:textId="740AE4AE" w:rsidR="002B1960" w:rsidRDefault="00AD577F" w:rsidP="003F15CC">
      <w:pPr>
        <w:rPr>
          <w:lang w:val="en-ZA"/>
        </w:rPr>
      </w:pPr>
      <w:r>
        <w:rPr>
          <w:lang w:val="en-ZA"/>
        </w:rPr>
        <w:t>Yet, m</w:t>
      </w:r>
      <w:r w:rsidR="009253A9">
        <w:rPr>
          <w:lang w:val="en-ZA"/>
        </w:rPr>
        <w:t>ore than a decade later, the Department of Health</w:t>
      </w:r>
      <w:r>
        <w:rPr>
          <w:lang w:val="en-ZA"/>
        </w:rPr>
        <w:t xml:space="preserve"> </w:t>
      </w:r>
      <w:r w:rsidR="00403912" w:rsidRPr="00403912">
        <w:rPr>
          <w:shd w:val="clear" w:color="auto" w:fill="FFFFFF"/>
          <w:lang w:val="en-US"/>
        </w:rPr>
        <w:t>estimated that 23% of maternal deaths resulting from septic miscarria</w:t>
      </w:r>
      <w:r w:rsidR="00882288">
        <w:rPr>
          <w:shd w:val="clear" w:color="auto" w:fill="FFFFFF"/>
          <w:lang w:val="en-US"/>
        </w:rPr>
        <w:t xml:space="preserve">ges </w:t>
      </w:r>
      <w:r w:rsidR="009253A9">
        <w:rPr>
          <w:shd w:val="clear" w:color="auto" w:fill="FFFFFF"/>
          <w:lang w:val="en-US"/>
        </w:rPr>
        <w:t xml:space="preserve">in public health facilities, </w:t>
      </w:r>
      <w:r w:rsidR="00801319">
        <w:rPr>
          <w:shd w:val="clear" w:color="auto" w:fill="FFFFFF"/>
          <w:lang w:val="en-US"/>
        </w:rPr>
        <w:t>between 2008 and 2010</w:t>
      </w:r>
      <w:r w:rsidR="009253A9">
        <w:rPr>
          <w:shd w:val="clear" w:color="auto" w:fill="FFFFFF"/>
          <w:lang w:val="en-US"/>
        </w:rPr>
        <w:t>,</w:t>
      </w:r>
      <w:r w:rsidR="00801319">
        <w:rPr>
          <w:shd w:val="clear" w:color="auto" w:fill="FFFFFF"/>
          <w:lang w:val="en-US"/>
        </w:rPr>
        <w:t xml:space="preserve"> were a direct result from</w:t>
      </w:r>
      <w:r w:rsidR="00403912" w:rsidRPr="00403912">
        <w:rPr>
          <w:shd w:val="clear" w:color="auto" w:fill="FFFFFF"/>
          <w:lang w:val="en-US"/>
        </w:rPr>
        <w:t xml:space="preserve"> unsafe </w:t>
      </w:r>
      <w:r w:rsidR="009253A9">
        <w:rPr>
          <w:shd w:val="clear" w:color="auto" w:fill="FFFFFF"/>
          <w:lang w:val="en-US"/>
        </w:rPr>
        <w:t>TOPs</w:t>
      </w:r>
      <w:r>
        <w:rPr>
          <w:shd w:val="clear" w:color="auto" w:fill="FFFFFF"/>
          <w:lang w:val="en-US"/>
        </w:rPr>
        <w:t>.</w:t>
      </w:r>
      <w:r>
        <w:rPr>
          <w:shd w:val="clear" w:color="auto" w:fill="FFFFFF"/>
          <w:lang w:val="en-US"/>
        </w:rPr>
        <w:fldChar w:fldCharType="begin"/>
      </w:r>
      <w:r w:rsidR="005A01B7">
        <w:rPr>
          <w:shd w:val="clear" w:color="auto" w:fill="FFFFFF"/>
          <w:lang w:val="en-US"/>
        </w:rPr>
        <w:instrText xml:space="preserve"> ADDIN EN.CITE &lt;EndNote&gt;&lt;Cite&gt;&lt;Author&gt;Government of South Africa&lt;/Author&gt;&lt;Year&gt;2014&lt;/Year&gt;&lt;RecNum&gt;247&lt;/RecNum&gt;&lt;DisplayText&gt;&lt;style face="superscript"&gt;6&lt;/style&gt;&lt;/DisplayText&gt;&lt;record&gt;&lt;rec-number&gt;247&lt;/rec-number&gt;&lt;foreign-keys&gt;&lt;key app="EN" db-id="eare2taxlax2sqezt0kv0afm2vr2vt95dwsz" timestamp="1543210918"&gt;247&lt;/key&gt;&lt;/foreign-keys&gt;&lt;ref-type name="Report"&gt;27&lt;/ref-type&gt;&lt;contributors&gt;&lt;authors&gt;&lt;author&gt;Government of South Africa,&lt;/author&gt;&lt;/authors&gt;&lt;/contributors&gt;&lt;titles&gt;&lt;title&gt;Saving Mothers 2011-2013: Sixth report on confidential enquiries into maternal deaths in South Africa&lt;/title&gt;&lt;/titles&gt;&lt;dates&gt;&lt;year&gt;2014&lt;/year&gt;&lt;/dates&gt;&lt;pub-location&gt;Pretoria&lt;/pub-location&gt;&lt;publisher&gt;Department of Health&lt;/publisher&gt;&lt;urls&gt;&lt;/urls&gt;&lt;/record&gt;&lt;/Cite&gt;&lt;/EndNote&gt;</w:instrText>
      </w:r>
      <w:r>
        <w:rPr>
          <w:shd w:val="clear" w:color="auto" w:fill="FFFFFF"/>
          <w:lang w:val="en-US"/>
        </w:rPr>
        <w:fldChar w:fldCharType="separate"/>
      </w:r>
      <w:r w:rsidR="005A01B7" w:rsidRPr="005A01B7">
        <w:rPr>
          <w:noProof/>
          <w:shd w:val="clear" w:color="auto" w:fill="FFFFFF"/>
          <w:vertAlign w:val="superscript"/>
          <w:lang w:val="en-US"/>
        </w:rPr>
        <w:t>6</w:t>
      </w:r>
      <w:r>
        <w:rPr>
          <w:shd w:val="clear" w:color="auto" w:fill="FFFFFF"/>
          <w:lang w:val="en-US"/>
        </w:rPr>
        <w:fldChar w:fldCharType="end"/>
      </w:r>
      <w:r>
        <w:rPr>
          <w:shd w:val="clear" w:color="auto" w:fill="FFFFFF"/>
          <w:lang w:val="en-US"/>
        </w:rPr>
        <w:t xml:space="preserve"> </w:t>
      </w:r>
      <w:r w:rsidR="00882288">
        <w:rPr>
          <w:shd w:val="clear" w:color="auto" w:fill="FFFFFF"/>
          <w:lang w:val="en-US"/>
        </w:rPr>
        <w:t xml:space="preserve">Additionally, in the </w:t>
      </w:r>
      <w:r w:rsidR="00A70512">
        <w:rPr>
          <w:shd w:val="clear" w:color="auto" w:fill="FFFFFF"/>
          <w:lang w:val="en-US"/>
        </w:rPr>
        <w:t xml:space="preserve">2014-2016 </w:t>
      </w:r>
      <w:r w:rsidR="00801319">
        <w:rPr>
          <w:shd w:val="clear" w:color="auto" w:fill="FFFFFF"/>
          <w:lang w:val="en-US"/>
        </w:rPr>
        <w:t>Saving Mothers R</w:t>
      </w:r>
      <w:r>
        <w:rPr>
          <w:shd w:val="clear" w:color="auto" w:fill="FFFFFF"/>
          <w:lang w:val="en-US"/>
        </w:rPr>
        <w:t>eport</w:t>
      </w:r>
      <w:r w:rsidR="00A70512">
        <w:rPr>
          <w:shd w:val="clear" w:color="auto" w:fill="FFFFFF"/>
          <w:lang w:val="en-US"/>
        </w:rPr>
        <w:t>,</w:t>
      </w:r>
      <w:r>
        <w:rPr>
          <w:shd w:val="clear" w:color="auto" w:fill="FFFFFF"/>
          <w:lang w:val="en-US"/>
        </w:rPr>
        <w:t xml:space="preserve"> unsafe </w:t>
      </w:r>
      <w:r w:rsidR="009253A9">
        <w:rPr>
          <w:shd w:val="clear" w:color="auto" w:fill="FFFFFF"/>
          <w:lang w:val="en-US"/>
        </w:rPr>
        <w:t>TOP</w:t>
      </w:r>
      <w:r>
        <w:rPr>
          <w:shd w:val="clear" w:color="auto" w:fill="FFFFFF"/>
          <w:lang w:val="en-US"/>
        </w:rPr>
        <w:t xml:space="preserve"> was re</w:t>
      </w:r>
      <w:r w:rsidR="00801319">
        <w:rPr>
          <w:shd w:val="clear" w:color="auto" w:fill="FFFFFF"/>
          <w:lang w:val="en-US"/>
        </w:rPr>
        <w:t>p</w:t>
      </w:r>
      <w:r w:rsidR="00A70512">
        <w:rPr>
          <w:shd w:val="clear" w:color="auto" w:fill="FFFFFF"/>
          <w:lang w:val="en-US"/>
        </w:rPr>
        <w:t>orted as an avoidable factor for</w:t>
      </w:r>
      <w:r>
        <w:rPr>
          <w:shd w:val="clear" w:color="auto" w:fill="FFFFFF"/>
          <w:lang w:val="en-US"/>
        </w:rPr>
        <w:t xml:space="preserve"> </w:t>
      </w:r>
      <w:r w:rsidR="00A70512">
        <w:rPr>
          <w:shd w:val="clear" w:color="auto" w:fill="FFFFFF"/>
          <w:lang w:val="en-US"/>
        </w:rPr>
        <w:t>25</w:t>
      </w:r>
      <w:r w:rsidR="00882288">
        <w:rPr>
          <w:shd w:val="clear" w:color="auto" w:fill="FFFFFF"/>
          <w:lang w:val="en-US"/>
        </w:rPr>
        <w:t xml:space="preserve">% of </w:t>
      </w:r>
      <w:r w:rsidR="00A70512">
        <w:rPr>
          <w:shd w:val="clear" w:color="auto" w:fill="FFFFFF"/>
          <w:lang w:val="en-US"/>
        </w:rPr>
        <w:t xml:space="preserve">maternal deaths due to </w:t>
      </w:r>
      <w:r w:rsidR="00882288">
        <w:rPr>
          <w:shd w:val="clear" w:color="auto" w:fill="FFFFFF"/>
          <w:lang w:val="en-US"/>
        </w:rPr>
        <w:t>miscarri</w:t>
      </w:r>
      <w:r w:rsidR="00A70512">
        <w:rPr>
          <w:shd w:val="clear" w:color="auto" w:fill="FFFFFF"/>
          <w:lang w:val="en-US"/>
        </w:rPr>
        <w:t>age</w:t>
      </w:r>
      <w:r>
        <w:rPr>
          <w:shd w:val="clear" w:color="auto" w:fill="FFFFFF"/>
          <w:lang w:val="en-US"/>
        </w:rPr>
        <w:t>.</w:t>
      </w:r>
      <w:r w:rsidR="002B1960">
        <w:rPr>
          <w:shd w:val="clear" w:color="auto" w:fill="FFFFFF"/>
          <w:lang w:val="en-US"/>
        </w:rPr>
        <w:fldChar w:fldCharType="begin"/>
      </w:r>
      <w:r w:rsidR="005A01B7">
        <w:rPr>
          <w:shd w:val="clear" w:color="auto" w:fill="FFFFFF"/>
          <w:lang w:val="en-US"/>
        </w:rPr>
        <w:instrText xml:space="preserve"> ADDIN EN.CITE &lt;EndNote&gt;&lt;Cite&gt;&lt;Author&gt;Government of South Africa&lt;/Author&gt;&lt;Year&gt;2017&lt;/Year&gt;&lt;RecNum&gt;248&lt;/RecNum&gt;&lt;DisplayText&gt;&lt;style face="superscript"&gt;7&lt;/style&gt;&lt;/DisplayText&gt;&lt;record&gt;&lt;rec-number&gt;248&lt;/rec-number&gt;&lt;foreign-keys&gt;&lt;key app="EN" db-id="eare2taxlax2sqezt0kv0afm2vr2vt95dwsz" timestamp="1543211216"&gt;248&lt;/key&gt;&lt;/foreign-keys&gt;&lt;ref-type name="Report"&gt;27&lt;/ref-type&gt;&lt;contributors&gt;&lt;authors&gt;&lt;author&gt;Government of South Africa,&lt;/author&gt;&lt;/authors&gt;&lt;/contributors&gt;&lt;titles&gt;&lt;title&gt;Saving Mothers 2014-2016: Seventh triennial report on confidential enquiries into maternal deaths in South Africa: Short report&lt;/title&gt;&lt;/titles&gt;&lt;dates&gt;&lt;year&gt;2017&lt;/year&gt;&lt;/dates&gt;&lt;pub-location&gt;Pretoria&lt;/pub-location&gt;&lt;publisher&gt;Department of Health&lt;/publisher&gt;&lt;urls&gt;&lt;/urls&gt;&lt;/record&gt;&lt;/Cite&gt;&lt;/EndNote&gt;</w:instrText>
      </w:r>
      <w:r w:rsidR="002B1960">
        <w:rPr>
          <w:shd w:val="clear" w:color="auto" w:fill="FFFFFF"/>
          <w:lang w:val="en-US"/>
        </w:rPr>
        <w:fldChar w:fldCharType="separate"/>
      </w:r>
      <w:r w:rsidR="005A01B7" w:rsidRPr="005A01B7">
        <w:rPr>
          <w:noProof/>
          <w:shd w:val="clear" w:color="auto" w:fill="FFFFFF"/>
          <w:vertAlign w:val="superscript"/>
          <w:lang w:val="en-US"/>
        </w:rPr>
        <w:t>7</w:t>
      </w:r>
      <w:r w:rsidR="002B1960">
        <w:rPr>
          <w:shd w:val="clear" w:color="auto" w:fill="FFFFFF"/>
          <w:lang w:val="en-US"/>
        </w:rPr>
        <w:fldChar w:fldCharType="end"/>
      </w:r>
      <w:r>
        <w:rPr>
          <w:shd w:val="clear" w:color="auto" w:fill="FFFFFF"/>
          <w:lang w:val="en-US"/>
        </w:rPr>
        <w:t xml:space="preserve"> </w:t>
      </w:r>
      <w:r w:rsidR="00882288">
        <w:rPr>
          <w:lang w:val="en-ZA"/>
        </w:rPr>
        <w:t>I</w:t>
      </w:r>
      <w:r w:rsidR="002B1960">
        <w:rPr>
          <w:lang w:val="en-ZA"/>
        </w:rPr>
        <w:t xml:space="preserve">t is likely that maternal mortality due to </w:t>
      </w:r>
      <w:r w:rsidR="00A47E94">
        <w:rPr>
          <w:lang w:val="en-ZA"/>
        </w:rPr>
        <w:t>TOP</w:t>
      </w:r>
      <w:r w:rsidR="002B1960">
        <w:rPr>
          <w:lang w:val="en-ZA"/>
        </w:rPr>
        <w:t>-related complica</w:t>
      </w:r>
      <w:r w:rsidR="00882288">
        <w:rPr>
          <w:lang w:val="en-ZA"/>
        </w:rPr>
        <w:t>tions in South Af</w:t>
      </w:r>
      <w:r w:rsidR="00A70512">
        <w:rPr>
          <w:lang w:val="en-ZA"/>
        </w:rPr>
        <w:t xml:space="preserve">rica is </w:t>
      </w:r>
      <w:r w:rsidR="00882288">
        <w:rPr>
          <w:lang w:val="en-ZA"/>
        </w:rPr>
        <w:t>under</w:t>
      </w:r>
      <w:r w:rsidR="002B1960">
        <w:rPr>
          <w:lang w:val="en-ZA"/>
        </w:rPr>
        <w:t>reported</w:t>
      </w:r>
      <w:r w:rsidR="00882288">
        <w:rPr>
          <w:lang w:val="en-ZA"/>
        </w:rPr>
        <w:t xml:space="preserve"> due to overlap in classific</w:t>
      </w:r>
      <w:r w:rsidR="00A70512">
        <w:rPr>
          <w:lang w:val="en-ZA"/>
        </w:rPr>
        <w:t>ations in maternal death cause; f</w:t>
      </w:r>
      <w:r w:rsidR="007C09B2">
        <w:rPr>
          <w:lang w:val="en-ZA"/>
        </w:rPr>
        <w:t>or example</w:t>
      </w:r>
      <w:r w:rsidR="00882288">
        <w:rPr>
          <w:lang w:val="en-ZA"/>
        </w:rPr>
        <w:t>,</w:t>
      </w:r>
      <w:r w:rsidR="007C09B2">
        <w:rPr>
          <w:lang w:val="en-ZA"/>
        </w:rPr>
        <w:t xml:space="preserve"> </w:t>
      </w:r>
      <w:r w:rsidR="002B1960" w:rsidRPr="00507A4F">
        <w:rPr>
          <w:lang w:val="en-ZA"/>
        </w:rPr>
        <w:t>HIV accounts for 3</w:t>
      </w:r>
      <w:r w:rsidR="00803926">
        <w:rPr>
          <w:lang w:val="en-ZA"/>
        </w:rPr>
        <w:t>2</w:t>
      </w:r>
      <w:r w:rsidR="002B1960" w:rsidRPr="00507A4F">
        <w:rPr>
          <w:lang w:val="en-ZA"/>
        </w:rPr>
        <w:t>% of maternal deaths</w:t>
      </w:r>
      <w:r w:rsidR="00803926">
        <w:rPr>
          <w:lang w:val="en-ZA"/>
        </w:rPr>
        <w:t xml:space="preserve"> </w:t>
      </w:r>
      <w:r w:rsidR="007D128C">
        <w:rPr>
          <w:lang w:val="en-ZA"/>
        </w:rPr>
        <w:fldChar w:fldCharType="begin"/>
      </w:r>
      <w:r w:rsidR="005A01B7">
        <w:rPr>
          <w:lang w:val="en-ZA"/>
        </w:rPr>
        <w:instrText xml:space="preserve"> ADDIN EN.CITE &lt;EndNote&gt;&lt;Cite&gt;&lt;Author&gt;Alkema&lt;/Author&gt;&lt;Year&gt;2016&lt;/Year&gt;&lt;RecNum&gt;249&lt;/RecNum&gt;&lt;DisplayText&gt;&lt;style face="superscript"&gt;8&lt;/style&gt;&lt;/DisplayText&gt;&lt;record&gt;&lt;rec-number&gt;249&lt;/rec-number&gt;&lt;foreign-keys&gt;&lt;key app="EN" db-id="eare2taxlax2sqezt0kv0afm2vr2vt95dwsz" timestamp="1543212872"&gt;249&lt;/key&gt;&lt;/foreign-keys&gt;&lt;ref-type name="Journal Article"&gt;17&lt;/ref-type&gt;&lt;contributors&gt;&lt;authors&gt;&lt;author&gt;Alkema, Leontine&lt;/author&gt;&lt;author&gt;Chou, Doris&lt;/author&gt;&lt;author&gt;Hogan, Daniel&lt;/author&gt;&lt;author&gt;Zhang, Sanqian&lt;/author&gt;&lt;author&gt;Moller, Ann-Beth&lt;/author&gt;&lt;author&gt;Gemmill, Alison&lt;/author&gt;&lt;author&gt;Fat, Doris Ma&lt;/author&gt;&lt;author&gt;Boerma, Ties&lt;/author&gt;&lt;author&gt;Temmerman, Marleen&lt;/author&gt;&lt;author&gt;Mathers, Colin&lt;/author&gt;&lt;author&gt;Say, Lale&lt;/author&gt;&lt;author&gt;United Nations Maternal Mortality Estimation Inter-Agency Group, collaborators&lt;/author&gt;&lt;author&gt;technical advisory, group&lt;/author&gt;&lt;/authors&gt;&lt;/contributors&gt;&lt;titles&gt;&lt;title&gt;Global, regional, and national levels and trends in maternal mortality between 1990 and 2015, with scenario-based projections to 2030: a systematic analysis by the UN Maternal Mortality Estimation Inter-Agency Group&lt;/title&gt;&lt;secondary-title&gt;Lancet (London, England)&lt;/secondary-title&gt;&lt;/titles&gt;&lt;periodical&gt;&lt;full-title&gt;Lancet (London, England)&lt;/full-title&gt;&lt;/periodical&gt;&lt;pages&gt;462-474&lt;/pages&gt;&lt;volume&gt;387&lt;/volume&gt;&lt;number&gt;10017&lt;/number&gt;&lt;edition&gt;2015/11/13&lt;/edition&gt;&lt;dates&gt;&lt;year&gt;2016&lt;/year&gt;&lt;/dates&gt;&lt;isbn&gt;1474-547X&amp;#xD;0140-6736&lt;/isbn&gt;&lt;accession-num&gt;26584737&lt;/accession-num&gt;&lt;urls&gt;&lt;related-urls&gt;&lt;url&gt;https://www.ncbi.nlm.nih.gov/pubmed/26584737&lt;/url&gt;&lt;url&gt;https://www.ncbi.nlm.nih.gov/pmc/PMC5515236/&lt;/url&gt;&lt;/related-urls&gt;&lt;/urls&gt;&lt;electronic-resource-num&gt;10.1016/S0140-6736(15)00838-7&lt;/electronic-resource-num&gt;&lt;remote-database-name&gt;PubMed&lt;/remote-database-name&gt;&lt;/record&gt;&lt;/Cite&gt;&lt;/EndNote&gt;</w:instrText>
      </w:r>
      <w:r w:rsidR="007D128C">
        <w:rPr>
          <w:lang w:val="en-ZA"/>
        </w:rPr>
        <w:fldChar w:fldCharType="separate"/>
      </w:r>
      <w:r w:rsidR="005A01B7" w:rsidRPr="005A01B7">
        <w:rPr>
          <w:noProof/>
          <w:vertAlign w:val="superscript"/>
          <w:lang w:val="en-ZA"/>
        </w:rPr>
        <w:t>8</w:t>
      </w:r>
      <w:r w:rsidR="007D128C">
        <w:rPr>
          <w:lang w:val="en-ZA"/>
        </w:rPr>
        <w:fldChar w:fldCharType="end"/>
      </w:r>
      <w:r w:rsidR="002B1960">
        <w:rPr>
          <w:lang w:val="en-ZA"/>
        </w:rPr>
        <w:t xml:space="preserve"> and</w:t>
      </w:r>
      <w:r w:rsidR="002B1960" w:rsidRPr="00507A4F">
        <w:rPr>
          <w:lang w:val="en-ZA"/>
        </w:rPr>
        <w:t xml:space="preserve"> </w:t>
      </w:r>
      <w:r w:rsidR="006B67A9" w:rsidRPr="00507A4F">
        <w:rPr>
          <w:lang w:val="en-ZA"/>
        </w:rPr>
        <w:t>HIV</w:t>
      </w:r>
      <w:r w:rsidR="002B1960">
        <w:rPr>
          <w:lang w:val="en-ZA"/>
        </w:rPr>
        <w:t>-</w:t>
      </w:r>
      <w:r w:rsidR="006B67A9" w:rsidRPr="00507A4F">
        <w:rPr>
          <w:lang w:val="en-ZA"/>
        </w:rPr>
        <w:t>positive</w:t>
      </w:r>
      <w:r w:rsidR="002B1960">
        <w:rPr>
          <w:lang w:val="en-ZA"/>
        </w:rPr>
        <w:t xml:space="preserve"> women</w:t>
      </w:r>
      <w:r w:rsidR="006B67A9" w:rsidRPr="00507A4F">
        <w:rPr>
          <w:lang w:val="en-ZA"/>
        </w:rPr>
        <w:t xml:space="preserve"> who die from septic abortions </w:t>
      </w:r>
      <w:r w:rsidR="00882288">
        <w:rPr>
          <w:lang w:val="en-ZA"/>
        </w:rPr>
        <w:t>are likely to be recorded as</w:t>
      </w:r>
      <w:r w:rsidR="006B67A9" w:rsidRPr="00507A4F">
        <w:rPr>
          <w:lang w:val="en-ZA"/>
        </w:rPr>
        <w:t xml:space="preserve"> HIV death</w:t>
      </w:r>
      <w:r w:rsidR="002B1960">
        <w:rPr>
          <w:lang w:val="en-ZA"/>
        </w:rPr>
        <w:t>s</w:t>
      </w:r>
      <w:r w:rsidR="006B67A9" w:rsidRPr="00507A4F">
        <w:rPr>
          <w:lang w:val="en-ZA"/>
        </w:rPr>
        <w:t>.</w:t>
      </w:r>
    </w:p>
    <w:p w14:paraId="1A3AC7ED" w14:textId="77777777" w:rsidR="002B1960" w:rsidRDefault="002B1960" w:rsidP="003F15CC">
      <w:pPr>
        <w:rPr>
          <w:lang w:val="en-ZA"/>
        </w:rPr>
      </w:pPr>
    </w:p>
    <w:p w14:paraId="6D760945" w14:textId="54902A9A" w:rsidR="00227DE2" w:rsidRPr="00E537DE" w:rsidRDefault="006B67A9" w:rsidP="00227DE2">
      <w:pPr>
        <w:rPr>
          <w:lang w:val="en-US"/>
        </w:rPr>
      </w:pPr>
      <w:r w:rsidRPr="00507A4F">
        <w:rPr>
          <w:lang w:val="en-ZA"/>
        </w:rPr>
        <w:t>In 2004 and 2008, amendments to the CTOP Act</w:t>
      </w:r>
      <w:r w:rsidR="001D1FE5">
        <w:rPr>
          <w:lang w:val="en-ZA"/>
        </w:rPr>
        <w:t xml:space="preserve"> </w:t>
      </w:r>
      <w:r w:rsidR="001D1FE5">
        <w:rPr>
          <w:lang w:val="en-ZA"/>
        </w:rPr>
        <w:fldChar w:fldCharType="begin"/>
      </w:r>
      <w:r w:rsidR="005A01B7">
        <w:rPr>
          <w:lang w:val="en-ZA"/>
        </w:rPr>
        <w:instrText xml:space="preserve"> ADDIN EN.CITE &lt;EndNote&gt;&lt;Cite&gt;&lt;Author&gt;Government of South Africa&lt;/Author&gt;&lt;Year&gt;2008&lt;/Year&gt;&lt;RecNum&gt;242&lt;/RecNum&gt;&lt;DisplayText&gt;&lt;style face="superscript"&gt;2, 3&lt;/style&gt;&lt;/DisplayText&gt;&lt;record&gt;&lt;rec-number&gt;242&lt;/rec-number&gt;&lt;foreign-keys&gt;&lt;key app="EN" db-id="eare2taxlax2sqezt0kv0afm2vr2vt95dwsz" timestamp="1543206773"&gt;242&lt;/key&gt;&lt;/foreign-keys&gt;&lt;ref-type name="Government Document"&gt;46&lt;/ref-type&gt;&lt;contributors&gt;&lt;authors&gt;&lt;author&gt;Government of South Africa,&lt;/author&gt;&lt;/authors&gt;&lt;/contributors&gt;&lt;titles&gt;&lt;title&gt;Choice on Termination of Pregnancy Amendment Act 1 (Sections 1, 3, 7-10)&lt;/title&gt;&lt;/titles&gt;&lt;dates&gt;&lt;year&gt;2008&lt;/year&gt;&lt;/dates&gt;&lt;urls&gt;&lt;related-urls&gt;&lt;url&gt;https://www.gov.za/documents/choice-termination-pregnancy-amendment-act&lt;/url&gt;&lt;/related-urls&gt;&lt;/urls&gt;&lt;/record&gt;&lt;/Cite&gt;&lt;Cite&gt;&lt;Author&gt;Government of South Africa&lt;/Author&gt;&lt;Year&gt;2004&lt;/Year&gt;&lt;RecNum&gt;243&lt;/RecNum&gt;&lt;record&gt;&lt;rec-number&gt;243&lt;/rec-number&gt;&lt;foreign-keys&gt;&lt;key app="EN" db-id="eare2taxlax2sqezt0kv0afm2vr2vt95dwsz" timestamp="1543206873"&gt;243&lt;/key&gt;&lt;/foreign-keys&gt;&lt;ref-type name="Government Document"&gt;46&lt;/ref-type&gt;&lt;contributors&gt;&lt;authors&gt;&lt;author&gt;Government of South Africa,&lt;/author&gt;&lt;/authors&gt;&lt;/contributors&gt;&lt;titles&gt;&lt;title&gt;Choice on Termination of Pregnancy Amendment Act 38 (Sections 1, 3, 7-10)&lt;/title&gt;&lt;/titles&gt;&lt;dates&gt;&lt;year&gt;2004&lt;/year&gt;&lt;/dates&gt;&lt;urls&gt;&lt;related-urls&gt;&lt;url&gt;https://www.gov.za/documents/choice-termination-pregnancy-amendment-act-0&lt;/url&gt;&lt;/related-urls&gt;&lt;/urls&gt;&lt;/record&gt;&lt;/Cite&gt;&lt;/EndNote&gt;</w:instrText>
      </w:r>
      <w:r w:rsidR="001D1FE5">
        <w:rPr>
          <w:lang w:val="en-ZA"/>
        </w:rPr>
        <w:fldChar w:fldCharType="separate"/>
      </w:r>
      <w:r w:rsidR="005A01B7" w:rsidRPr="005A01B7">
        <w:rPr>
          <w:noProof/>
          <w:vertAlign w:val="superscript"/>
          <w:lang w:val="en-ZA"/>
        </w:rPr>
        <w:t>2, 3</w:t>
      </w:r>
      <w:r w:rsidR="001D1FE5">
        <w:rPr>
          <w:lang w:val="en-ZA"/>
        </w:rPr>
        <w:fldChar w:fldCharType="end"/>
      </w:r>
      <w:r w:rsidRPr="00507A4F">
        <w:rPr>
          <w:lang w:val="en-ZA"/>
        </w:rPr>
        <w:t xml:space="preserve"> were introduced with the aim of expanding access </w:t>
      </w:r>
      <w:r w:rsidR="001D1FE5">
        <w:rPr>
          <w:lang w:val="en-ZA"/>
        </w:rPr>
        <w:t xml:space="preserve">to </w:t>
      </w:r>
      <w:r w:rsidR="00A47E94">
        <w:rPr>
          <w:lang w:val="en-ZA"/>
        </w:rPr>
        <w:t>TOP</w:t>
      </w:r>
      <w:r w:rsidR="001D1FE5">
        <w:rPr>
          <w:lang w:val="en-ZA"/>
        </w:rPr>
        <w:t xml:space="preserve"> care </w:t>
      </w:r>
      <w:r w:rsidR="00803926">
        <w:rPr>
          <w:lang w:val="en-ZA"/>
        </w:rPr>
        <w:t>and expanding provider c</w:t>
      </w:r>
      <w:r w:rsidR="00882288">
        <w:rPr>
          <w:lang w:val="en-ZA"/>
        </w:rPr>
        <w:t xml:space="preserve">adres to include trained nurses. However, </w:t>
      </w:r>
      <w:r w:rsidRPr="00507A4F">
        <w:rPr>
          <w:lang w:val="en-ZA"/>
        </w:rPr>
        <w:t>improve</w:t>
      </w:r>
      <w:r w:rsidR="00227DE2">
        <w:rPr>
          <w:lang w:val="en-ZA"/>
        </w:rPr>
        <w:t>d</w:t>
      </w:r>
      <w:r w:rsidRPr="00507A4F">
        <w:rPr>
          <w:lang w:val="en-ZA"/>
        </w:rPr>
        <w:t xml:space="preserve"> access and equity</w:t>
      </w:r>
      <w:r w:rsidR="00227DE2">
        <w:rPr>
          <w:lang w:val="en-ZA"/>
        </w:rPr>
        <w:t xml:space="preserve"> is required</w:t>
      </w:r>
      <w:r w:rsidRPr="00507A4F">
        <w:rPr>
          <w:lang w:val="en-ZA"/>
        </w:rPr>
        <w:t xml:space="preserve">. </w:t>
      </w:r>
      <w:r w:rsidR="00313252">
        <w:rPr>
          <w:lang w:val="en-ZA"/>
        </w:rPr>
        <w:t>Individuals</w:t>
      </w:r>
      <w:r w:rsidRPr="00507A4F">
        <w:rPr>
          <w:lang w:val="en-ZA"/>
        </w:rPr>
        <w:t xml:space="preserve"> continue to seek unsafe </w:t>
      </w:r>
      <w:r w:rsidR="00A47E94">
        <w:rPr>
          <w:lang w:val="en-ZA"/>
        </w:rPr>
        <w:t>termination of pregnancies</w:t>
      </w:r>
      <w:r w:rsidRPr="00507A4F">
        <w:rPr>
          <w:lang w:val="en-ZA"/>
        </w:rPr>
        <w:t xml:space="preserve"> and risk adverse health outcomes or death</w:t>
      </w:r>
      <w:r w:rsidRPr="00803926">
        <w:rPr>
          <w:lang w:val="en-ZA"/>
        </w:rPr>
        <w:t xml:space="preserve">, </w:t>
      </w:r>
      <w:r w:rsidR="00227DE2">
        <w:rPr>
          <w:lang w:val="en-ZA"/>
        </w:rPr>
        <w:t>with an</w:t>
      </w:r>
      <w:r w:rsidR="00882288">
        <w:rPr>
          <w:lang w:val="en-ZA"/>
        </w:rPr>
        <w:t xml:space="preserve"> estimated minimum of </w:t>
      </w:r>
      <w:r w:rsidRPr="00803926">
        <w:rPr>
          <w:lang w:val="en-ZA"/>
        </w:rPr>
        <w:t xml:space="preserve">50% of </w:t>
      </w:r>
      <w:r w:rsidR="00A47E94">
        <w:rPr>
          <w:lang w:val="en-ZA"/>
        </w:rPr>
        <w:t>terminations</w:t>
      </w:r>
      <w:r w:rsidR="00882288">
        <w:rPr>
          <w:lang w:val="en-ZA"/>
        </w:rPr>
        <w:t xml:space="preserve"> provided </w:t>
      </w:r>
      <w:r w:rsidRPr="00803926">
        <w:rPr>
          <w:lang w:val="en-ZA"/>
        </w:rPr>
        <w:t>by informal</w:t>
      </w:r>
      <w:r w:rsidR="00313252">
        <w:rPr>
          <w:lang w:val="en-ZA"/>
        </w:rPr>
        <w:t>, illegal and unsafe</w:t>
      </w:r>
      <w:r w:rsidRPr="00803926">
        <w:rPr>
          <w:lang w:val="en-ZA"/>
        </w:rPr>
        <w:t xml:space="preserve"> providers</w:t>
      </w:r>
      <w:r w:rsidR="00882288">
        <w:rPr>
          <w:lang w:val="en-ZA"/>
        </w:rPr>
        <w:t xml:space="preserve"> in South Africa</w:t>
      </w:r>
      <w:r w:rsidRPr="00803926">
        <w:rPr>
          <w:lang w:val="en-ZA"/>
        </w:rPr>
        <w:t>.</w:t>
      </w:r>
      <w:r w:rsidR="00227DE2">
        <w:rPr>
          <w:lang w:val="en-ZA"/>
        </w:rPr>
        <w:t xml:space="preserve"> </w:t>
      </w:r>
      <w:r w:rsidR="00882288">
        <w:rPr>
          <w:lang w:val="en-ZA"/>
        </w:rPr>
        <w:t>Furthermore</w:t>
      </w:r>
      <w:r w:rsidRPr="00507A4F">
        <w:rPr>
          <w:lang w:val="en-ZA"/>
        </w:rPr>
        <w:t xml:space="preserve">, </w:t>
      </w:r>
      <w:r w:rsidR="00882288">
        <w:rPr>
          <w:lang w:val="en-ZA"/>
        </w:rPr>
        <w:t xml:space="preserve">there is </w:t>
      </w:r>
      <w:r w:rsidRPr="00507A4F">
        <w:rPr>
          <w:lang w:val="en-ZA"/>
        </w:rPr>
        <w:t xml:space="preserve">significant variability in access and quality of </w:t>
      </w:r>
      <w:r w:rsidR="00A47E94">
        <w:rPr>
          <w:lang w:val="en-ZA"/>
        </w:rPr>
        <w:t>TOP</w:t>
      </w:r>
      <w:r w:rsidRPr="00507A4F">
        <w:rPr>
          <w:lang w:val="en-ZA"/>
        </w:rPr>
        <w:t xml:space="preserve"> service delivery across South Africa. </w:t>
      </w:r>
      <w:r w:rsidR="00227DE2">
        <w:rPr>
          <w:lang w:val="en-ZA"/>
        </w:rPr>
        <w:t>Many s</w:t>
      </w:r>
      <w:r w:rsidR="00227DE2" w:rsidRPr="00507A4F">
        <w:rPr>
          <w:lang w:val="en-ZA"/>
        </w:rPr>
        <w:t xml:space="preserve">tudies have identified barriers to safe </w:t>
      </w:r>
      <w:r w:rsidR="00227DE2">
        <w:rPr>
          <w:lang w:val="en-ZA"/>
        </w:rPr>
        <w:t>TOP</w:t>
      </w:r>
      <w:r w:rsidR="00227DE2" w:rsidRPr="00507A4F">
        <w:rPr>
          <w:lang w:val="en-ZA"/>
        </w:rPr>
        <w:t xml:space="preserve"> in South Africa</w:t>
      </w:r>
      <w:r w:rsidR="00313252">
        <w:rPr>
          <w:lang w:val="en-ZA"/>
        </w:rPr>
        <w:t xml:space="preserve"> including: </w:t>
      </w:r>
      <w:r w:rsidR="00227DE2" w:rsidRPr="00507A4F">
        <w:rPr>
          <w:lang w:val="en-ZA"/>
        </w:rPr>
        <w:t xml:space="preserve">provider </w:t>
      </w:r>
      <w:r w:rsidR="00313252">
        <w:rPr>
          <w:lang w:val="en-ZA"/>
        </w:rPr>
        <w:t>bias and opposition;</w:t>
      </w:r>
      <w:r w:rsidR="00227DE2">
        <w:rPr>
          <w:lang w:val="en-ZA"/>
        </w:rPr>
        <w:t xml:space="preserve"> </w:t>
      </w:r>
      <w:r w:rsidR="00227DE2" w:rsidRPr="00507A4F">
        <w:rPr>
          <w:lang w:val="en-ZA"/>
        </w:rPr>
        <w:t>stigma</w:t>
      </w:r>
      <w:r w:rsidR="00313252">
        <w:rPr>
          <w:lang w:val="en-ZA"/>
        </w:rPr>
        <w:t>; lack of infrastructure,</w:t>
      </w:r>
      <w:r w:rsidR="00227DE2">
        <w:rPr>
          <w:lang w:val="en-ZA"/>
        </w:rPr>
        <w:t xml:space="preserve"> equipment and/o</w:t>
      </w:r>
      <w:r w:rsidR="00313252">
        <w:rPr>
          <w:lang w:val="en-ZA"/>
        </w:rPr>
        <w:t>r trained providers at facility;</w:t>
      </w:r>
      <w:r w:rsidR="00227DE2">
        <w:rPr>
          <w:lang w:val="en-ZA"/>
        </w:rPr>
        <w:t xml:space="preserve"> general </w:t>
      </w:r>
      <w:r w:rsidR="00227DE2" w:rsidRPr="00507A4F">
        <w:rPr>
          <w:lang w:val="en-ZA"/>
        </w:rPr>
        <w:t xml:space="preserve">limited knowledge of </w:t>
      </w:r>
      <w:r w:rsidR="00227DE2">
        <w:rPr>
          <w:lang w:val="en-ZA"/>
        </w:rPr>
        <w:t>TOP</w:t>
      </w:r>
      <w:r w:rsidR="00227DE2" w:rsidRPr="00507A4F">
        <w:rPr>
          <w:lang w:val="en-ZA"/>
        </w:rPr>
        <w:t xml:space="preserve"> legislation</w:t>
      </w:r>
      <w:r w:rsidR="00313252">
        <w:rPr>
          <w:lang w:val="en-ZA"/>
        </w:rPr>
        <w:t>;</w:t>
      </w:r>
      <w:r w:rsidR="00227DE2" w:rsidRPr="00507A4F">
        <w:rPr>
          <w:lang w:val="en-ZA"/>
        </w:rPr>
        <w:t xml:space="preserve"> </w:t>
      </w:r>
      <w:r w:rsidR="00227DE2">
        <w:rPr>
          <w:lang w:val="en-US"/>
        </w:rPr>
        <w:t xml:space="preserve">and </w:t>
      </w:r>
      <w:r w:rsidR="00227DE2" w:rsidRPr="00E537DE">
        <w:rPr>
          <w:lang w:val="en-US"/>
        </w:rPr>
        <w:t>unmet contraceptive needs</w:t>
      </w:r>
      <w:r w:rsidR="00227DE2">
        <w:rPr>
          <w:lang w:val="en-US"/>
        </w:rPr>
        <w:t>.</w:t>
      </w:r>
      <w:r w:rsidR="00227DE2">
        <w:rPr>
          <w:lang w:val="en-US"/>
        </w:rPr>
        <w:fldChar w:fldCharType="begin">
          <w:fldData xml:space="preserve">PEVuZE5vdGU+PENpdGU+PEF1dGhvcj5HZXJkdHM8L0F1dGhvcj48WWVhcj4yMDE3PC9ZZWFyPjxS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==
</w:fldData>
        </w:fldChar>
      </w:r>
      <w:r w:rsidR="00227DE2">
        <w:rPr>
          <w:lang w:val="en-US"/>
        </w:rPr>
        <w:instrText xml:space="preserve"> ADDIN EN.CITE </w:instrText>
      </w:r>
      <w:r w:rsidR="00227DE2">
        <w:rPr>
          <w:lang w:val="en-US"/>
        </w:rPr>
        <w:fldChar w:fldCharType="begin">
          <w:fldData xml:space="preserve">PEVuZE5vdGU+PENpdGU+PEF1dGhvcj5HZXJkdHM8L0F1dGhvcj48WWVhcj4yMDE3PC9ZZWFyPjxS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==
</w:fldData>
        </w:fldChar>
      </w:r>
      <w:r w:rsidR="00227DE2">
        <w:rPr>
          <w:lang w:val="en-US"/>
        </w:rPr>
        <w:instrText xml:space="preserve"> ADDIN EN.CITE.DATA </w:instrText>
      </w:r>
      <w:r w:rsidR="00227DE2">
        <w:rPr>
          <w:lang w:val="en-US"/>
        </w:rPr>
      </w:r>
      <w:r w:rsidR="00227DE2">
        <w:rPr>
          <w:lang w:val="en-US"/>
        </w:rPr>
        <w:fldChar w:fldCharType="end"/>
      </w:r>
      <w:r w:rsidR="00227DE2">
        <w:rPr>
          <w:lang w:val="en-US"/>
        </w:rPr>
      </w:r>
      <w:r w:rsidR="00227DE2">
        <w:rPr>
          <w:lang w:val="en-US"/>
        </w:rPr>
        <w:fldChar w:fldCharType="separate"/>
      </w:r>
      <w:r w:rsidR="00227DE2" w:rsidRPr="005A01B7">
        <w:rPr>
          <w:noProof/>
          <w:vertAlign w:val="superscript"/>
          <w:lang w:val="en-US"/>
        </w:rPr>
        <w:t>9-12</w:t>
      </w:r>
      <w:r w:rsidR="00227DE2">
        <w:rPr>
          <w:lang w:val="en-US"/>
        </w:rPr>
        <w:fldChar w:fldCharType="end"/>
      </w:r>
      <w:r w:rsidR="00227DE2">
        <w:rPr>
          <w:lang w:val="en-US"/>
        </w:rPr>
        <w:t xml:space="preserve">  </w:t>
      </w:r>
    </w:p>
    <w:p w14:paraId="126CAFF1" w14:textId="5FCBF130" w:rsidR="00FF5B92" w:rsidRDefault="00FF5B92" w:rsidP="00507A4F">
      <w:pPr>
        <w:rPr>
          <w:b/>
          <w:lang w:val="en-ZA"/>
        </w:rPr>
      </w:pPr>
    </w:p>
    <w:p w14:paraId="135AB7AF" w14:textId="6C99414B" w:rsidR="00B3131A" w:rsidRDefault="00227DE2" w:rsidP="00507A4F">
      <w:pPr>
        <w:rPr>
          <w:lang w:val="en-ZA"/>
        </w:rPr>
      </w:pPr>
      <w:r>
        <w:rPr>
          <w:lang w:val="en-ZA"/>
        </w:rPr>
        <w:t xml:space="preserve">As part of the NDoH 2014 Midterm Review of the Maternal Child and Women’s Health strategy, </w:t>
      </w:r>
      <w:r w:rsidR="006B67A9" w:rsidRPr="00507A4F">
        <w:rPr>
          <w:lang w:val="en-ZA"/>
        </w:rPr>
        <w:t xml:space="preserve">recommendations were </w:t>
      </w:r>
      <w:r>
        <w:rPr>
          <w:lang w:val="en-ZA"/>
        </w:rPr>
        <w:t xml:space="preserve">developed to address challenges in implementation of TOP services, which are </w:t>
      </w:r>
      <w:r w:rsidR="00B05A92">
        <w:rPr>
          <w:lang w:val="en-ZA"/>
        </w:rPr>
        <w:t>enabled in full</w:t>
      </w:r>
      <w:r>
        <w:rPr>
          <w:lang w:val="en-ZA"/>
        </w:rPr>
        <w:t xml:space="preserve"> by this guideline</w:t>
      </w:r>
      <w:r w:rsidR="00FE0BEF">
        <w:rPr>
          <w:lang w:val="en-ZA"/>
        </w:rPr>
        <w:t xml:space="preserve">, as well as the National </w:t>
      </w:r>
      <w:r w:rsidR="0023175F">
        <w:rPr>
          <w:lang w:val="en-ZA"/>
        </w:rPr>
        <w:t xml:space="preserve">Integrated </w:t>
      </w:r>
      <w:r w:rsidR="00E431F1">
        <w:rPr>
          <w:lang w:val="en-ZA"/>
        </w:rPr>
        <w:t xml:space="preserve">SRH&amp;R </w:t>
      </w:r>
      <w:r w:rsidR="00FE0BEF">
        <w:rPr>
          <w:lang w:val="en-ZA"/>
        </w:rPr>
        <w:t>Policy (2019)</w:t>
      </w:r>
      <w:r>
        <w:rPr>
          <w:lang w:val="en-ZA"/>
        </w:rPr>
        <w:t xml:space="preserve">. These </w:t>
      </w:r>
      <w:r w:rsidR="00AF653C">
        <w:rPr>
          <w:lang w:val="en-ZA"/>
        </w:rPr>
        <w:t xml:space="preserve">recommendations </w:t>
      </w:r>
      <w:r>
        <w:rPr>
          <w:lang w:val="en-ZA"/>
        </w:rPr>
        <w:t xml:space="preserve">are summarized below: </w:t>
      </w:r>
    </w:p>
    <w:p w14:paraId="4C4ADAA1" w14:textId="77777777" w:rsidR="00AA0D32" w:rsidRPr="00507A4F" w:rsidRDefault="00AA0D32" w:rsidP="00507A4F">
      <w:pPr>
        <w:rPr>
          <w:lang w:val="en-ZA"/>
        </w:rPr>
      </w:pPr>
    </w:p>
    <w:p w14:paraId="1A456DF9" w14:textId="4F27F618" w:rsidR="00B3131A" w:rsidRPr="00AA0D32" w:rsidRDefault="003C53A6" w:rsidP="00420B1E">
      <w:pPr>
        <w:pStyle w:val="ListParagraph"/>
        <w:numPr>
          <w:ilvl w:val="0"/>
          <w:numId w:val="3"/>
        </w:numPr>
        <w:rPr>
          <w:lang w:val="en-ZA"/>
        </w:rPr>
      </w:pPr>
      <w:r>
        <w:rPr>
          <w:lang w:val="en-ZA"/>
        </w:rPr>
        <w:t>Develop a training strategy for all</w:t>
      </w:r>
      <w:r w:rsidR="006B67A9" w:rsidRPr="00AA0D32">
        <w:rPr>
          <w:lang w:val="en-ZA"/>
        </w:rPr>
        <w:t xml:space="preserve"> levels of health care providers, including management. This includes introducing TOP into the medica</w:t>
      </w:r>
      <w:r w:rsidR="00172234">
        <w:rPr>
          <w:lang w:val="en-ZA"/>
        </w:rPr>
        <w:t xml:space="preserve">l and nursing school curricula, </w:t>
      </w:r>
      <w:r w:rsidR="006B67A9" w:rsidRPr="00AA0D32">
        <w:rPr>
          <w:lang w:val="en-ZA"/>
        </w:rPr>
        <w:t>training doctors</w:t>
      </w:r>
      <w:r w:rsidR="00172234">
        <w:rPr>
          <w:lang w:val="en-ZA"/>
        </w:rPr>
        <w:t xml:space="preserve"> in second trimester management,</w:t>
      </w:r>
      <w:r w:rsidR="006B67A9" w:rsidRPr="00AA0D32">
        <w:rPr>
          <w:lang w:val="en-ZA"/>
        </w:rPr>
        <w:t xml:space="preserve"> and developing a SRH</w:t>
      </w:r>
      <w:r w:rsidR="00227DE2">
        <w:rPr>
          <w:lang w:val="en-ZA"/>
        </w:rPr>
        <w:t>&amp;</w:t>
      </w:r>
      <w:r w:rsidR="006B67A9" w:rsidRPr="00AA0D32">
        <w:rPr>
          <w:lang w:val="en-ZA"/>
        </w:rPr>
        <w:t>R course that covers a continuum of services (SRH</w:t>
      </w:r>
      <w:r w:rsidR="003C1E85">
        <w:rPr>
          <w:lang w:val="en-ZA"/>
        </w:rPr>
        <w:t>&amp;</w:t>
      </w:r>
      <w:r w:rsidR="006B67A9" w:rsidRPr="00AA0D32">
        <w:rPr>
          <w:lang w:val="en-ZA"/>
        </w:rPr>
        <w:t>R ri</w:t>
      </w:r>
      <w:r>
        <w:rPr>
          <w:lang w:val="en-ZA"/>
        </w:rPr>
        <w:t>g</w:t>
      </w:r>
      <w:r w:rsidR="00313252">
        <w:rPr>
          <w:lang w:val="en-ZA"/>
        </w:rPr>
        <w:t>hts, contraception, TOP, etc.)</w:t>
      </w:r>
    </w:p>
    <w:p w14:paraId="7498A22D" w14:textId="58775131" w:rsidR="00B3131A" w:rsidRPr="00AA0D32" w:rsidRDefault="00227DE2" w:rsidP="00420B1E">
      <w:pPr>
        <w:pStyle w:val="ListParagraph"/>
        <w:numPr>
          <w:ilvl w:val="0"/>
          <w:numId w:val="3"/>
        </w:numPr>
        <w:rPr>
          <w:lang w:val="en-ZA"/>
        </w:rPr>
      </w:pPr>
      <w:r>
        <w:rPr>
          <w:lang w:val="en-ZA"/>
        </w:rPr>
        <w:t>Develop</w:t>
      </w:r>
      <w:r w:rsidR="006B67A9" w:rsidRPr="00AA0D32">
        <w:rPr>
          <w:lang w:val="en-ZA"/>
        </w:rPr>
        <w:t xml:space="preserve"> </w:t>
      </w:r>
      <w:r w:rsidR="00313252">
        <w:rPr>
          <w:lang w:val="en-ZA"/>
        </w:rPr>
        <w:t xml:space="preserve">an </w:t>
      </w:r>
      <w:r w:rsidR="006B67A9" w:rsidRPr="00AA0D32">
        <w:rPr>
          <w:lang w:val="en-ZA"/>
        </w:rPr>
        <w:t>integrated strategic</w:t>
      </w:r>
      <w:r w:rsidR="00313252">
        <w:rPr>
          <w:lang w:val="en-ZA"/>
        </w:rPr>
        <w:t xml:space="preserve"> and operational plan targeted to</w:t>
      </w:r>
      <w:r w:rsidR="006B67A9" w:rsidRPr="00AA0D32">
        <w:rPr>
          <w:lang w:val="en-ZA"/>
        </w:rPr>
        <w:t xml:space="preserve"> strengthen</w:t>
      </w:r>
      <w:r w:rsidR="00313252">
        <w:rPr>
          <w:lang w:val="en-ZA"/>
        </w:rPr>
        <w:t>ing</w:t>
      </w:r>
      <w:r w:rsidR="006B67A9" w:rsidRPr="00AA0D32">
        <w:rPr>
          <w:lang w:val="en-ZA"/>
        </w:rPr>
        <w:t xml:space="preserve"> TOP services</w:t>
      </w:r>
    </w:p>
    <w:p w14:paraId="1E928572" w14:textId="12ECFADE" w:rsidR="00B3131A" w:rsidRPr="00AA0D32" w:rsidRDefault="006B67A9" w:rsidP="00420B1E">
      <w:pPr>
        <w:pStyle w:val="ListParagraph"/>
        <w:numPr>
          <w:ilvl w:val="0"/>
          <w:numId w:val="3"/>
        </w:numPr>
        <w:rPr>
          <w:lang w:val="en-ZA"/>
        </w:rPr>
      </w:pPr>
      <w:r w:rsidRPr="00AA0D32">
        <w:rPr>
          <w:lang w:val="en-ZA"/>
        </w:rPr>
        <w:t>Expand access to medical TOP in all nine provinces and m</w:t>
      </w:r>
      <w:r w:rsidR="00313252">
        <w:rPr>
          <w:lang w:val="en-ZA"/>
        </w:rPr>
        <w:t>onitor acceptability and impact; t</w:t>
      </w:r>
      <w:r w:rsidRPr="00AA0D32">
        <w:rPr>
          <w:lang w:val="en-ZA"/>
        </w:rPr>
        <w:t>his may include facility audit</w:t>
      </w:r>
      <w:r w:rsidR="00227DE2">
        <w:rPr>
          <w:lang w:val="en-ZA"/>
        </w:rPr>
        <w:t>s</w:t>
      </w:r>
      <w:r w:rsidRPr="00AA0D32">
        <w:rPr>
          <w:lang w:val="en-ZA"/>
        </w:rPr>
        <w:t xml:space="preserve"> to determine reasons why designated TOP sites are no</w:t>
      </w:r>
      <w:r w:rsidR="00FB0357">
        <w:rPr>
          <w:lang w:val="en-ZA"/>
        </w:rPr>
        <w:t xml:space="preserve">t operational, </w:t>
      </w:r>
      <w:r w:rsidRPr="00AA0D32">
        <w:rPr>
          <w:lang w:val="en-ZA"/>
        </w:rPr>
        <w:lastRenderedPageBreak/>
        <w:t>the effect that medical TOP may have on provide</w:t>
      </w:r>
      <w:r w:rsidR="00227DE2">
        <w:rPr>
          <w:lang w:val="en-ZA"/>
        </w:rPr>
        <w:t>r</w:t>
      </w:r>
      <w:r w:rsidR="00FB0357">
        <w:rPr>
          <w:lang w:val="en-ZA"/>
        </w:rPr>
        <w:t xml:space="preserve"> willingness to offer services and acceptabi</w:t>
      </w:r>
      <w:r w:rsidR="00055286">
        <w:rPr>
          <w:lang w:val="en-ZA"/>
        </w:rPr>
        <w:t>lity of medical TOP by clients</w:t>
      </w:r>
    </w:p>
    <w:p w14:paraId="76162BDF" w14:textId="2411A0FB" w:rsidR="00B3131A" w:rsidRPr="00AA0D32" w:rsidRDefault="006B67A9" w:rsidP="00420B1E">
      <w:pPr>
        <w:pStyle w:val="ListParagraph"/>
        <w:numPr>
          <w:ilvl w:val="0"/>
          <w:numId w:val="3"/>
        </w:numPr>
        <w:rPr>
          <w:lang w:val="en-ZA"/>
        </w:rPr>
      </w:pPr>
      <w:r w:rsidRPr="00AA0D32">
        <w:rPr>
          <w:lang w:val="en-ZA"/>
        </w:rPr>
        <w:t>Conduct additional research and develop guidelines for the provision of TOPs for HIV</w:t>
      </w:r>
      <w:r w:rsidR="007E04D7">
        <w:rPr>
          <w:lang w:val="en-ZA"/>
        </w:rPr>
        <w:t>-</w:t>
      </w:r>
      <w:r w:rsidRPr="00AA0D32">
        <w:rPr>
          <w:lang w:val="en-ZA"/>
        </w:rPr>
        <w:t xml:space="preserve">positive </w:t>
      </w:r>
      <w:r w:rsidR="007E04D7">
        <w:rPr>
          <w:lang w:val="en-ZA"/>
        </w:rPr>
        <w:t>individual</w:t>
      </w:r>
      <w:r w:rsidRPr="00AA0D32">
        <w:rPr>
          <w:lang w:val="en-ZA"/>
        </w:rPr>
        <w:t>s and those with unknown HIV status</w:t>
      </w:r>
    </w:p>
    <w:p w14:paraId="4B9DF276" w14:textId="2B7A1B97" w:rsidR="00B3131A" w:rsidRPr="00AA0D32" w:rsidRDefault="006B67A9" w:rsidP="00420B1E">
      <w:pPr>
        <w:pStyle w:val="ListParagraph"/>
        <w:numPr>
          <w:ilvl w:val="0"/>
          <w:numId w:val="3"/>
        </w:numPr>
        <w:rPr>
          <w:lang w:val="en-ZA"/>
        </w:rPr>
      </w:pPr>
      <w:r w:rsidRPr="00AA0D32">
        <w:rPr>
          <w:lang w:val="en-ZA"/>
        </w:rPr>
        <w:t>Strengthen public-private partnerships in areas where the public sector is unable to address the unmet need for safe and legal TOP services or where there are delays</w:t>
      </w:r>
    </w:p>
    <w:p w14:paraId="056B7ACD" w14:textId="6B24B3EB" w:rsidR="00B3131A" w:rsidRPr="00AA0D32" w:rsidRDefault="006B67A9" w:rsidP="00420B1E">
      <w:pPr>
        <w:pStyle w:val="ListParagraph"/>
        <w:numPr>
          <w:ilvl w:val="0"/>
          <w:numId w:val="3"/>
        </w:numPr>
        <w:rPr>
          <w:lang w:val="en-ZA"/>
        </w:rPr>
      </w:pPr>
      <w:r w:rsidRPr="00AA0D32">
        <w:rPr>
          <w:lang w:val="en-ZA"/>
        </w:rPr>
        <w:t>Ensure TOP services are able to prov</w:t>
      </w:r>
      <w:r w:rsidR="004D287D">
        <w:rPr>
          <w:lang w:val="en-ZA"/>
        </w:rPr>
        <w:t>ide on-site post-</w:t>
      </w:r>
      <w:r w:rsidR="00055286">
        <w:rPr>
          <w:lang w:val="en-ZA"/>
        </w:rPr>
        <w:t>TOP contraception; i</w:t>
      </w:r>
      <w:r w:rsidRPr="00AA0D32">
        <w:rPr>
          <w:lang w:val="en-ZA"/>
        </w:rPr>
        <w:t>f not possible</w:t>
      </w:r>
      <w:r w:rsidR="004D287D">
        <w:rPr>
          <w:lang w:val="en-ZA"/>
        </w:rPr>
        <w:t xml:space="preserve"> for any reason</w:t>
      </w:r>
      <w:r w:rsidRPr="00AA0D32">
        <w:rPr>
          <w:lang w:val="en-ZA"/>
        </w:rPr>
        <w:t xml:space="preserve">, ensure that </w:t>
      </w:r>
      <w:r w:rsidR="007E04D7">
        <w:rPr>
          <w:lang w:val="en-ZA"/>
        </w:rPr>
        <w:t>individual</w:t>
      </w:r>
      <w:r w:rsidRPr="00AA0D32">
        <w:rPr>
          <w:lang w:val="en-ZA"/>
        </w:rPr>
        <w:t>s are referred and encouraged to take up a contraceptive method that they choose or prefer, to meet their needs for preven</w:t>
      </w:r>
      <w:r w:rsidR="00055286">
        <w:rPr>
          <w:lang w:val="en-ZA"/>
        </w:rPr>
        <w:t>ting further unwanted pregnancy</w:t>
      </w:r>
    </w:p>
    <w:p w14:paraId="201D6781" w14:textId="77777777" w:rsidR="00AA0D32" w:rsidRDefault="00AA0D32" w:rsidP="00507A4F">
      <w:pPr>
        <w:rPr>
          <w:lang w:val="en-ZA"/>
        </w:rPr>
      </w:pPr>
      <w:bookmarkStart w:id="29" w:name="_Toc525688579"/>
    </w:p>
    <w:p w14:paraId="0752CD76" w14:textId="68870D7D" w:rsidR="00B3131A" w:rsidRPr="00507A4F" w:rsidRDefault="006B67A9" w:rsidP="00AA0D32">
      <w:pPr>
        <w:pStyle w:val="Heading2"/>
        <w:rPr>
          <w:lang w:val="en-ZA"/>
        </w:rPr>
      </w:pPr>
      <w:bookmarkStart w:id="30" w:name="_Toc8387192"/>
      <w:r w:rsidRPr="00507A4F">
        <w:rPr>
          <w:lang w:val="en-ZA"/>
        </w:rPr>
        <w:t>Objectives of the Guidelines</w:t>
      </w:r>
      <w:bookmarkEnd w:id="29"/>
      <w:bookmarkEnd w:id="30"/>
    </w:p>
    <w:p w14:paraId="6ECF98C1" w14:textId="77777777" w:rsidR="005D4DE1" w:rsidRDefault="005D4DE1" w:rsidP="00507A4F">
      <w:pPr>
        <w:rPr>
          <w:lang w:val="en-ZA"/>
        </w:rPr>
      </w:pPr>
    </w:p>
    <w:p w14:paraId="78196514" w14:textId="3530E049" w:rsidR="000D7E76" w:rsidRPr="00507A4F" w:rsidRDefault="000D7E76" w:rsidP="00507A4F">
      <w:pPr>
        <w:rPr>
          <w:lang w:val="en-ZA"/>
        </w:rPr>
      </w:pPr>
      <w:r>
        <w:rPr>
          <w:noProof/>
          <w:lang w:val="en-ZA" w:eastAsia="en-ZA"/>
        </w:rPr>
        <mc:AlternateContent>
          <mc:Choice Requires="wps">
            <w:drawing>
              <wp:inline distT="0" distB="0" distL="0" distR="0" wp14:anchorId="2F19251D" wp14:editId="2B98163C">
                <wp:extent cx="1828800" cy="1828800"/>
                <wp:effectExtent l="0" t="0" r="6350" b="0"/>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604030E2" w14:textId="0343C7E7" w:rsidR="003351E3" w:rsidRPr="000D7E76" w:rsidRDefault="003351E3" w:rsidP="0041754F">
                            <w:pPr>
                              <w:jc w:val="center"/>
                              <w:rPr>
                                <w:lang w:val="en-ZA"/>
                              </w:rPr>
                            </w:pPr>
                            <w:r>
                              <w:rPr>
                                <w:lang w:val="en-ZA"/>
                              </w:rPr>
                              <w:t>This</w:t>
                            </w:r>
                            <w:r w:rsidRPr="00507A4F">
                              <w:rPr>
                                <w:lang w:val="en-ZA"/>
                              </w:rPr>
                              <w:t xml:space="preserve"> TOP guideline </w:t>
                            </w:r>
                            <w:r w:rsidRPr="000D7E76">
                              <w:rPr>
                                <w:lang w:val="en-ZA"/>
                              </w:rPr>
                              <w:t xml:space="preserve">provides a clinical and operational framework for the provision of </w:t>
                            </w:r>
                            <w:r w:rsidRPr="000D7E76">
                              <w:rPr>
                                <w:b/>
                                <w:lang w:val="en-ZA"/>
                              </w:rPr>
                              <w:t>equitable</w:t>
                            </w:r>
                            <w:r w:rsidRPr="000D7E76">
                              <w:rPr>
                                <w:lang w:val="en-ZA"/>
                              </w:rPr>
                              <w:t xml:space="preserve">, </w:t>
                            </w:r>
                            <w:r w:rsidRPr="000D7E76">
                              <w:rPr>
                                <w:b/>
                                <w:lang w:val="en-ZA"/>
                              </w:rPr>
                              <w:t>accessible</w:t>
                            </w:r>
                            <w:r w:rsidRPr="000D7E76">
                              <w:rPr>
                                <w:lang w:val="en-ZA"/>
                              </w:rPr>
                              <w:t xml:space="preserve">, </w:t>
                            </w:r>
                            <w:r w:rsidRPr="000D7E76">
                              <w:rPr>
                                <w:b/>
                                <w:lang w:val="en-ZA"/>
                              </w:rPr>
                              <w:t>cost-efficient</w:t>
                            </w:r>
                            <w:r w:rsidRPr="000D7E76">
                              <w:rPr>
                                <w:lang w:val="en-ZA"/>
                              </w:rPr>
                              <w:t xml:space="preserve">, and </w:t>
                            </w:r>
                            <w:r w:rsidRPr="000D7E76">
                              <w:rPr>
                                <w:b/>
                                <w:lang w:val="en-ZA"/>
                              </w:rPr>
                              <w:t>user-friendly</w:t>
                            </w:r>
                            <w:r w:rsidRPr="000D7E76">
                              <w:rPr>
                                <w:lang w:val="en-ZA"/>
                              </w:rPr>
                              <w:t xml:space="preserve"> TOP services. It aims to advance </w:t>
                            </w:r>
                            <w:r>
                              <w:rPr>
                                <w:lang w:val="en-ZA"/>
                              </w:rPr>
                              <w:t>individual</w:t>
                            </w:r>
                            <w:r w:rsidRPr="000D7E76">
                              <w:rPr>
                                <w:lang w:val="en-ZA"/>
                              </w:rPr>
                              <w:t>’s rights to the highest quality of safe TOP services whil</w:t>
                            </w:r>
                            <w:r>
                              <w:rPr>
                                <w:lang w:val="en-ZA"/>
                              </w:rPr>
                              <w:t>e</w:t>
                            </w:r>
                            <w:r w:rsidRPr="000D7E76">
                              <w:rPr>
                                <w:lang w:val="en-ZA"/>
                              </w:rPr>
                              <w:t xml:space="preserve"> ensuring its integration into the comprehensive SRH</w:t>
                            </w:r>
                            <w:r>
                              <w:rPr>
                                <w:lang w:val="en-ZA"/>
                              </w:rPr>
                              <w:t>&amp;</w:t>
                            </w:r>
                            <w:r w:rsidRPr="000D7E76">
                              <w:rPr>
                                <w:lang w:val="en-ZA"/>
                              </w:rPr>
                              <w:t xml:space="preserve">R </w:t>
                            </w:r>
                            <w:r>
                              <w:rPr>
                                <w:lang w:val="en-ZA"/>
                              </w:rPr>
                              <w:t>health care</w:t>
                            </w:r>
                            <w:r w:rsidRPr="000D7E76">
                              <w:rPr>
                                <w:lang w:val="en-ZA"/>
                              </w:rPr>
                              <w:t xml:space="preserve"> service package.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F19251D" id="_x0000_t202" coordsize="21600,21600" o:spt="202" path="m,l,21600r21600,l21600,xe">
                <v:stroke joinstyle="miter"/>
                <v:path gradientshapeok="t" o:connecttype="rect"/>
              </v:shapetype>
              <v:shape id="Text Box 2"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" fillcolor="#e2efd9 [665]" stroked="f" strokeweight=".5pt">
                <v:textbox style="mso-fit-shape-to-text:t">
                  <w:txbxContent>
                    <w:p w14:paraId="604030E2" w14:textId="0343C7E7" w:rsidR="003351E3" w:rsidRPr="000D7E76" w:rsidRDefault="003351E3" w:rsidP="0041754F">
                      <w:pPr>
                        <w:jc w:val="center"/>
                        <w:rPr>
                          <w:lang w:val="en-ZA"/>
                        </w:rPr>
                      </w:pPr>
                      <w:r>
                        <w:rPr>
                          <w:lang w:val="en-ZA"/>
                        </w:rPr>
                        <w:t>This</w:t>
                      </w:r>
                      <w:r w:rsidRPr="00507A4F">
                        <w:rPr>
                          <w:lang w:val="en-ZA"/>
                        </w:rPr>
                        <w:t xml:space="preserve"> TOP guideline </w:t>
                      </w:r>
                      <w:r w:rsidRPr="000D7E76">
                        <w:rPr>
                          <w:lang w:val="en-ZA"/>
                        </w:rPr>
                        <w:t xml:space="preserve">provides a clinical and operational framework for the provision of </w:t>
                      </w:r>
                      <w:r w:rsidRPr="000D7E76">
                        <w:rPr>
                          <w:b/>
                          <w:lang w:val="en-ZA"/>
                        </w:rPr>
                        <w:t>equitable</w:t>
                      </w:r>
                      <w:r w:rsidRPr="000D7E76">
                        <w:rPr>
                          <w:lang w:val="en-ZA"/>
                        </w:rPr>
                        <w:t xml:space="preserve">, </w:t>
                      </w:r>
                      <w:r w:rsidRPr="000D7E76">
                        <w:rPr>
                          <w:b/>
                          <w:lang w:val="en-ZA"/>
                        </w:rPr>
                        <w:t>accessible</w:t>
                      </w:r>
                      <w:r w:rsidRPr="000D7E76">
                        <w:rPr>
                          <w:lang w:val="en-ZA"/>
                        </w:rPr>
                        <w:t xml:space="preserve">, </w:t>
                      </w:r>
                      <w:r w:rsidRPr="000D7E76">
                        <w:rPr>
                          <w:b/>
                          <w:lang w:val="en-ZA"/>
                        </w:rPr>
                        <w:t>cost-efficient</w:t>
                      </w:r>
                      <w:r w:rsidRPr="000D7E76">
                        <w:rPr>
                          <w:lang w:val="en-ZA"/>
                        </w:rPr>
                        <w:t xml:space="preserve">, and </w:t>
                      </w:r>
                      <w:r w:rsidRPr="000D7E76">
                        <w:rPr>
                          <w:b/>
                          <w:lang w:val="en-ZA"/>
                        </w:rPr>
                        <w:t>user-friendly</w:t>
                      </w:r>
                      <w:r w:rsidRPr="000D7E76">
                        <w:rPr>
                          <w:lang w:val="en-ZA"/>
                        </w:rPr>
                        <w:t xml:space="preserve"> TOP services. It aims to advance </w:t>
                      </w:r>
                      <w:r>
                        <w:rPr>
                          <w:lang w:val="en-ZA"/>
                        </w:rPr>
                        <w:t>individual</w:t>
                      </w:r>
                      <w:r w:rsidRPr="000D7E76">
                        <w:rPr>
                          <w:lang w:val="en-ZA"/>
                        </w:rPr>
                        <w:t>’s rights to the highest quality of safe TOP services whil</w:t>
                      </w:r>
                      <w:r>
                        <w:rPr>
                          <w:lang w:val="en-ZA"/>
                        </w:rPr>
                        <w:t>e</w:t>
                      </w:r>
                      <w:r w:rsidRPr="000D7E76">
                        <w:rPr>
                          <w:lang w:val="en-ZA"/>
                        </w:rPr>
                        <w:t xml:space="preserve"> ensuring its integration into the comprehensive SRH</w:t>
                      </w:r>
                      <w:r>
                        <w:rPr>
                          <w:lang w:val="en-ZA"/>
                        </w:rPr>
                        <w:t>&amp;</w:t>
                      </w:r>
                      <w:r w:rsidRPr="000D7E76">
                        <w:rPr>
                          <w:lang w:val="en-ZA"/>
                        </w:rPr>
                        <w:t xml:space="preserve">R </w:t>
                      </w:r>
                      <w:r>
                        <w:rPr>
                          <w:lang w:val="en-ZA"/>
                        </w:rPr>
                        <w:t>health care</w:t>
                      </w:r>
                      <w:r w:rsidRPr="000D7E76">
                        <w:rPr>
                          <w:lang w:val="en-ZA"/>
                        </w:rPr>
                        <w:t xml:space="preserve"> service package.  </w:t>
                      </w:r>
                    </w:p>
                  </w:txbxContent>
                </v:textbox>
                <w10:anchorlock/>
              </v:shape>
            </w:pict>
          </mc:Fallback>
        </mc:AlternateContent>
      </w:r>
    </w:p>
    <w:p w14:paraId="31C27325" w14:textId="77777777" w:rsidR="000D7E76" w:rsidRDefault="000D7E76" w:rsidP="00507A4F">
      <w:pPr>
        <w:rPr>
          <w:lang w:val="en-ZA"/>
        </w:rPr>
      </w:pPr>
    </w:p>
    <w:p w14:paraId="3D2EA352" w14:textId="7D01F821" w:rsidR="00B3131A" w:rsidRDefault="006B67A9" w:rsidP="00507A4F">
      <w:pPr>
        <w:rPr>
          <w:lang w:val="en-ZA"/>
        </w:rPr>
      </w:pPr>
      <w:r w:rsidRPr="00507A4F">
        <w:rPr>
          <w:lang w:val="en-ZA"/>
        </w:rPr>
        <w:t xml:space="preserve">In line with the </w:t>
      </w:r>
      <w:r w:rsidR="00E431F1">
        <w:rPr>
          <w:lang w:val="en-ZA"/>
        </w:rPr>
        <w:t xml:space="preserve">National </w:t>
      </w:r>
      <w:r w:rsidR="0023175F">
        <w:rPr>
          <w:lang w:val="en-ZA"/>
        </w:rPr>
        <w:t xml:space="preserve">Integrated </w:t>
      </w:r>
      <w:r w:rsidRPr="00507A4F">
        <w:rPr>
          <w:lang w:val="en-ZA"/>
        </w:rPr>
        <w:t>SRH</w:t>
      </w:r>
      <w:r w:rsidR="00E431F1">
        <w:rPr>
          <w:lang w:val="en-ZA"/>
        </w:rPr>
        <w:t>&amp;</w:t>
      </w:r>
      <w:r w:rsidRPr="00507A4F">
        <w:rPr>
          <w:lang w:val="en-ZA"/>
        </w:rPr>
        <w:t>R Policy</w:t>
      </w:r>
      <w:r w:rsidR="0041754F">
        <w:rPr>
          <w:lang w:val="en-ZA"/>
        </w:rPr>
        <w:t xml:space="preserve"> (2019)</w:t>
      </w:r>
      <w:r w:rsidRPr="00507A4F">
        <w:rPr>
          <w:lang w:val="en-ZA"/>
        </w:rPr>
        <w:t xml:space="preserve">, the </w:t>
      </w:r>
      <w:r w:rsidRPr="00507A4F">
        <w:rPr>
          <w:b/>
          <w:lang w:val="en-ZA"/>
        </w:rPr>
        <w:t>objectives of these guidelines are to</w:t>
      </w:r>
      <w:r w:rsidRPr="00507A4F">
        <w:rPr>
          <w:lang w:val="en-ZA"/>
        </w:rPr>
        <w:t>:</w:t>
      </w:r>
    </w:p>
    <w:p w14:paraId="413C4C78" w14:textId="04289DD9" w:rsidR="00B3131A" w:rsidRPr="00BD2BD1" w:rsidRDefault="006B67A9" w:rsidP="00420B1E">
      <w:pPr>
        <w:pStyle w:val="ListParagraph"/>
        <w:numPr>
          <w:ilvl w:val="0"/>
          <w:numId w:val="3"/>
        </w:numPr>
        <w:rPr>
          <w:lang w:val="en-ZA"/>
        </w:rPr>
      </w:pPr>
      <w:r w:rsidRPr="00BD2BD1">
        <w:rPr>
          <w:lang w:val="en-ZA"/>
        </w:rPr>
        <w:t xml:space="preserve">Ensure that every </w:t>
      </w:r>
      <w:r w:rsidR="00E431F1">
        <w:rPr>
          <w:lang w:val="en-ZA"/>
        </w:rPr>
        <w:t>individual</w:t>
      </w:r>
      <w:r w:rsidRPr="00BD2BD1">
        <w:rPr>
          <w:lang w:val="en-ZA"/>
        </w:rPr>
        <w:t xml:space="preserve"> who seeks a</w:t>
      </w:r>
      <w:r w:rsidR="00A47E94">
        <w:rPr>
          <w:lang w:val="en-ZA"/>
        </w:rPr>
        <w:t xml:space="preserve"> TOP </w:t>
      </w:r>
      <w:r w:rsidRPr="00BD2BD1">
        <w:rPr>
          <w:lang w:val="en-ZA"/>
        </w:rPr>
        <w:t>can access the service without undue delay and sho</w:t>
      </w:r>
      <w:r w:rsidR="00E431F1">
        <w:rPr>
          <w:lang w:val="en-ZA"/>
        </w:rPr>
        <w:t>uld not have to wait more than seven</w:t>
      </w:r>
      <w:r w:rsidRPr="00BD2BD1">
        <w:rPr>
          <w:lang w:val="en-ZA"/>
        </w:rPr>
        <w:t xml:space="preserve"> days from the first request on accessing services</w:t>
      </w:r>
    </w:p>
    <w:p w14:paraId="414E5C9A" w14:textId="2B2EF2C4" w:rsidR="00B3131A" w:rsidRPr="00BD2BD1" w:rsidRDefault="006B67A9" w:rsidP="00420B1E">
      <w:pPr>
        <w:pStyle w:val="ListParagraph"/>
        <w:numPr>
          <w:ilvl w:val="0"/>
          <w:numId w:val="3"/>
        </w:numPr>
        <w:rPr>
          <w:lang w:val="en-ZA"/>
        </w:rPr>
      </w:pPr>
      <w:r w:rsidRPr="00BD2BD1">
        <w:rPr>
          <w:lang w:val="en-ZA"/>
        </w:rPr>
        <w:t xml:space="preserve">Enable all </w:t>
      </w:r>
      <w:r w:rsidR="00A47E94">
        <w:rPr>
          <w:lang w:val="en-ZA"/>
        </w:rPr>
        <w:t>TOP</w:t>
      </w:r>
      <w:r w:rsidRPr="00BD2BD1">
        <w:rPr>
          <w:lang w:val="en-ZA"/>
        </w:rPr>
        <w:t xml:space="preserve"> </w:t>
      </w:r>
      <w:r w:rsidR="007E04D7">
        <w:rPr>
          <w:lang w:val="en-ZA"/>
        </w:rPr>
        <w:t>individual</w:t>
      </w:r>
      <w:r w:rsidRPr="00BD2BD1">
        <w:rPr>
          <w:lang w:val="en-ZA"/>
        </w:rPr>
        <w:t>s to make informed decisions and ensure their human rights are respected, protected, and fulfilled</w:t>
      </w:r>
    </w:p>
    <w:p w14:paraId="764364F2" w14:textId="7377EB2D" w:rsidR="00B3131A" w:rsidRPr="00BD2BD1" w:rsidRDefault="006B67A9" w:rsidP="00420B1E">
      <w:pPr>
        <w:pStyle w:val="ListParagraph"/>
        <w:numPr>
          <w:ilvl w:val="0"/>
          <w:numId w:val="3"/>
        </w:numPr>
        <w:rPr>
          <w:lang w:val="en-ZA"/>
        </w:rPr>
      </w:pPr>
      <w:r w:rsidRPr="00BD2BD1">
        <w:rPr>
          <w:lang w:val="en-ZA"/>
        </w:rPr>
        <w:t xml:space="preserve">Provide standardised approach to TOP services </w:t>
      </w:r>
      <w:r w:rsidR="00204A54">
        <w:rPr>
          <w:lang w:val="en-ZA"/>
        </w:rPr>
        <w:t>across</w:t>
      </w:r>
      <w:r w:rsidRPr="00BD2BD1">
        <w:rPr>
          <w:lang w:val="en-ZA"/>
        </w:rPr>
        <w:t xml:space="preserve"> South Africa</w:t>
      </w:r>
    </w:p>
    <w:p w14:paraId="1284926D" w14:textId="5DD0F009" w:rsidR="00B3131A" w:rsidRPr="00BD2BD1" w:rsidRDefault="006B67A9" w:rsidP="00420B1E">
      <w:pPr>
        <w:pStyle w:val="ListParagraph"/>
        <w:numPr>
          <w:ilvl w:val="0"/>
          <w:numId w:val="3"/>
        </w:numPr>
        <w:rPr>
          <w:lang w:val="en-ZA"/>
        </w:rPr>
      </w:pPr>
      <w:r w:rsidRPr="00BD2BD1">
        <w:rPr>
          <w:lang w:val="en-ZA"/>
        </w:rPr>
        <w:t xml:space="preserve">Increase access </w:t>
      </w:r>
      <w:r w:rsidR="00204A54">
        <w:rPr>
          <w:lang w:val="en-ZA"/>
        </w:rPr>
        <w:t xml:space="preserve">to </w:t>
      </w:r>
      <w:r w:rsidRPr="00BD2BD1">
        <w:rPr>
          <w:lang w:val="en-ZA"/>
        </w:rPr>
        <w:t>and uptake of TOP services</w:t>
      </w:r>
    </w:p>
    <w:p w14:paraId="02F2127A" w14:textId="77777777" w:rsidR="00B3131A" w:rsidRPr="00BD2BD1" w:rsidRDefault="006B67A9" w:rsidP="00420B1E">
      <w:pPr>
        <w:pStyle w:val="ListParagraph"/>
        <w:numPr>
          <w:ilvl w:val="0"/>
          <w:numId w:val="3"/>
        </w:numPr>
        <w:rPr>
          <w:lang w:val="en-ZA"/>
        </w:rPr>
      </w:pPr>
      <w:r w:rsidRPr="00BD2BD1">
        <w:rPr>
          <w:lang w:val="en-ZA"/>
        </w:rPr>
        <w:t>Deliver integrated TOP services at the lowest appropriate level of care</w:t>
      </w:r>
    </w:p>
    <w:p w14:paraId="1BBB929D" w14:textId="2288BE3D" w:rsidR="00B3131A" w:rsidRPr="00BD2BD1" w:rsidRDefault="006B67A9" w:rsidP="00420B1E">
      <w:pPr>
        <w:pStyle w:val="ListParagraph"/>
        <w:numPr>
          <w:ilvl w:val="0"/>
          <w:numId w:val="3"/>
        </w:numPr>
        <w:rPr>
          <w:lang w:val="en-ZA"/>
        </w:rPr>
      </w:pPr>
      <w:r w:rsidRPr="00BD2BD1">
        <w:rPr>
          <w:lang w:val="en-ZA"/>
        </w:rPr>
        <w:t>Promote multi</w:t>
      </w:r>
      <w:r w:rsidR="00204A54">
        <w:rPr>
          <w:lang w:val="en-ZA"/>
        </w:rPr>
        <w:t>-</w:t>
      </w:r>
      <w:r w:rsidRPr="00BD2BD1">
        <w:rPr>
          <w:lang w:val="en-ZA"/>
        </w:rPr>
        <w:t xml:space="preserve">sectoral collaboration and shared accountability related to the provision of </w:t>
      </w:r>
      <w:r w:rsidR="00A47E94">
        <w:rPr>
          <w:lang w:val="en-ZA"/>
        </w:rPr>
        <w:t>TOP</w:t>
      </w:r>
      <w:r w:rsidRPr="00BD2BD1">
        <w:rPr>
          <w:lang w:val="en-ZA"/>
        </w:rPr>
        <w:t xml:space="preserve"> within the context of SRH</w:t>
      </w:r>
      <w:r w:rsidR="00E431F1">
        <w:rPr>
          <w:lang w:val="en-ZA"/>
        </w:rPr>
        <w:t xml:space="preserve">&amp;R </w:t>
      </w:r>
      <w:r w:rsidRPr="00BD2BD1">
        <w:rPr>
          <w:lang w:val="en-ZA"/>
        </w:rPr>
        <w:t>services</w:t>
      </w:r>
    </w:p>
    <w:p w14:paraId="4D846ED1" w14:textId="77777777" w:rsidR="00204A54" w:rsidRDefault="00204A54" w:rsidP="00507A4F">
      <w:pPr>
        <w:rPr>
          <w:lang w:val="en-ZA"/>
        </w:rPr>
      </w:pPr>
      <w:bookmarkStart w:id="31" w:name="_Toc525688580"/>
    </w:p>
    <w:p w14:paraId="05F43EAC" w14:textId="66DD2940" w:rsidR="00B3131A" w:rsidRPr="00507A4F" w:rsidRDefault="006B67A9" w:rsidP="00204A54">
      <w:pPr>
        <w:pStyle w:val="Heading2"/>
        <w:rPr>
          <w:lang w:val="en-ZA"/>
        </w:rPr>
      </w:pPr>
      <w:bookmarkStart w:id="32" w:name="_Toc8387193"/>
      <w:r w:rsidRPr="00507A4F">
        <w:rPr>
          <w:lang w:val="en-ZA"/>
        </w:rPr>
        <w:t>Audience</w:t>
      </w:r>
      <w:bookmarkEnd w:id="31"/>
      <w:bookmarkEnd w:id="32"/>
    </w:p>
    <w:p w14:paraId="0615085B" w14:textId="3F7E86F2" w:rsidR="00B3131A" w:rsidRDefault="006B67A9" w:rsidP="00507A4F">
      <w:pPr>
        <w:rPr>
          <w:lang w:val="en-ZA"/>
        </w:rPr>
      </w:pPr>
      <w:r w:rsidRPr="00507A4F">
        <w:rPr>
          <w:lang w:val="en-ZA"/>
        </w:rPr>
        <w:t xml:space="preserve">These guidelines aim to provide strategic and operational guidance to all public and </w:t>
      </w:r>
      <w:r w:rsidR="00FF778E" w:rsidRPr="00507A4F">
        <w:rPr>
          <w:lang w:val="en-ZA"/>
        </w:rPr>
        <w:t xml:space="preserve">private </w:t>
      </w:r>
      <w:r w:rsidR="00FF778E">
        <w:rPr>
          <w:lang w:val="en-ZA"/>
        </w:rPr>
        <w:t>health</w:t>
      </w:r>
      <w:r w:rsidR="00764BE6">
        <w:rPr>
          <w:lang w:val="en-ZA"/>
        </w:rPr>
        <w:t xml:space="preserve"> care</w:t>
      </w:r>
      <w:r w:rsidRPr="00507A4F">
        <w:rPr>
          <w:lang w:val="en-ZA"/>
        </w:rPr>
        <w:t xml:space="preserve"> providers. This includes, but is not limited to: national, provincial, and district health officials, health facility </w:t>
      </w:r>
      <w:r w:rsidR="00FF778E" w:rsidRPr="00507A4F">
        <w:rPr>
          <w:lang w:val="en-ZA"/>
        </w:rPr>
        <w:t xml:space="preserve">managers, </w:t>
      </w:r>
      <w:r w:rsidR="00FF778E">
        <w:rPr>
          <w:lang w:val="en-ZA"/>
        </w:rPr>
        <w:t>health</w:t>
      </w:r>
      <w:r w:rsidR="00764BE6">
        <w:rPr>
          <w:lang w:val="en-ZA"/>
        </w:rPr>
        <w:t xml:space="preserve"> care</w:t>
      </w:r>
      <w:r w:rsidRPr="00507A4F">
        <w:rPr>
          <w:lang w:val="en-ZA"/>
        </w:rPr>
        <w:t xml:space="preserve"> workers, counsellors, </w:t>
      </w:r>
      <w:r w:rsidR="00FF778E" w:rsidRPr="00507A4F">
        <w:rPr>
          <w:lang w:val="en-ZA"/>
        </w:rPr>
        <w:t xml:space="preserve">community </w:t>
      </w:r>
      <w:r w:rsidR="00FF778E">
        <w:rPr>
          <w:lang w:val="en-ZA"/>
        </w:rPr>
        <w:t>health</w:t>
      </w:r>
      <w:r w:rsidR="00764BE6">
        <w:rPr>
          <w:lang w:val="en-ZA"/>
        </w:rPr>
        <w:t xml:space="preserve"> care</w:t>
      </w:r>
      <w:r w:rsidRPr="00507A4F">
        <w:rPr>
          <w:lang w:val="en-ZA"/>
        </w:rPr>
        <w:t xml:space="preserve"> workers, community-based organisations (CBOs), non-governmental organisations (NGOs), faith-based organisations (FBOs), and any other service provider in the private sector and educational institutions. </w:t>
      </w:r>
    </w:p>
    <w:p w14:paraId="3B389FDA" w14:textId="77777777" w:rsidR="00204A54" w:rsidRPr="00507A4F" w:rsidRDefault="00204A54" w:rsidP="00507A4F">
      <w:pPr>
        <w:rPr>
          <w:lang w:val="en-ZA"/>
        </w:rPr>
      </w:pPr>
    </w:p>
    <w:p w14:paraId="6FEE438D" w14:textId="77777777" w:rsidR="00B3131A" w:rsidRPr="00507A4F" w:rsidRDefault="006B67A9" w:rsidP="00204A54">
      <w:pPr>
        <w:pStyle w:val="Heading2"/>
        <w:rPr>
          <w:lang w:val="en-ZA"/>
        </w:rPr>
      </w:pPr>
      <w:bookmarkStart w:id="33" w:name="_Toc525688581"/>
      <w:bookmarkStart w:id="34" w:name="_Toc8387194"/>
      <w:r w:rsidRPr="00507A4F">
        <w:rPr>
          <w:lang w:val="en-ZA"/>
        </w:rPr>
        <w:t>Guiding Principles of Implementation</w:t>
      </w:r>
      <w:bookmarkEnd w:id="33"/>
      <w:bookmarkEnd w:id="34"/>
    </w:p>
    <w:p w14:paraId="3E0DCD28" w14:textId="77777777" w:rsidR="00204A54" w:rsidRDefault="00204A54" w:rsidP="00507A4F">
      <w:pPr>
        <w:rPr>
          <w:lang w:val="en-ZA"/>
        </w:rPr>
      </w:pPr>
    </w:p>
    <w:p w14:paraId="22A276C7" w14:textId="144EC081" w:rsidR="00B3131A" w:rsidRPr="00507A4F" w:rsidRDefault="006B67A9" w:rsidP="00507A4F">
      <w:pPr>
        <w:rPr>
          <w:lang w:val="en-ZA"/>
        </w:rPr>
      </w:pPr>
      <w:r w:rsidRPr="00507A4F">
        <w:rPr>
          <w:lang w:val="en-ZA"/>
        </w:rPr>
        <w:t xml:space="preserve">These guidelines are in accordance with global standards of TOP care </w:t>
      </w:r>
      <w:r w:rsidR="00A97D9E">
        <w:rPr>
          <w:lang w:val="en-ZA"/>
        </w:rPr>
        <w:fldChar w:fldCharType="begin"/>
      </w:r>
      <w:r w:rsidR="005A01B7">
        <w:rPr>
          <w:lang w:val="en-ZA"/>
        </w:rPr>
        <w:instrText xml:space="preserve"> ADDIN EN.CITE &lt;EndNote&gt;&lt;Cite&gt;&lt;Author&gt;World Health Organization&lt;/Author&gt;&lt;Year&gt;2014&lt;/Year&gt;&lt;RecNum&gt;219&lt;/RecNum&gt;&lt;DisplayText&gt;&lt;style face="superscript"&gt;13&lt;/style&gt;&lt;/DisplayText&gt;&lt;record&gt;&lt;rec-number&gt;219&lt;/rec-number&gt;&lt;foreign-keys&gt;&lt;key app="EN" db-id="eare2taxlax2sqezt0kv0afm2vr2vt95dwsz" timestamp="1542356462"&gt;219&lt;/key&gt;&lt;/foreign-keys&gt;&lt;ref-type name="Generic"&gt;13&lt;/ref-type&gt;&lt;contributors&gt;&lt;authors&gt;&lt;author&gt;World Health Organization,&lt;/author&gt;&lt;/authors&gt;&lt;/contributors&gt;&lt;titles&gt;&lt;title&gt;Clinical practice handbook for safe abortion&lt;/title&gt;&lt;/titles&gt;&lt;dates&gt;&lt;year&gt;2014&lt;/year&gt;&lt;/dates&gt;&lt;pub-location&gt;Geneva&lt;/pub-location&gt;&lt;publisher&gt;WHO&lt;/publisher&gt;&lt;urls&gt;&lt;related-urls&gt;&lt;url&gt;http://apps.who.int/iris/bitstream/10665/97415/1/9789241548717_eng.pdf&lt;/url&gt;&lt;/related-urls&gt;&lt;/urls&gt;&lt;/record&gt;&lt;/Cite&gt;&lt;/EndNote&gt;</w:instrText>
      </w:r>
      <w:r w:rsidR="00A97D9E">
        <w:rPr>
          <w:lang w:val="en-ZA"/>
        </w:rPr>
        <w:fldChar w:fldCharType="separate"/>
      </w:r>
      <w:r w:rsidR="005A01B7" w:rsidRPr="005A01B7">
        <w:rPr>
          <w:noProof/>
          <w:vertAlign w:val="superscript"/>
          <w:lang w:val="en-ZA"/>
        </w:rPr>
        <w:t>13</w:t>
      </w:r>
      <w:r w:rsidR="00A97D9E">
        <w:rPr>
          <w:lang w:val="en-ZA"/>
        </w:rPr>
        <w:fldChar w:fldCharType="end"/>
      </w:r>
      <w:r w:rsidR="00A97D9E">
        <w:rPr>
          <w:lang w:val="en-ZA"/>
        </w:rPr>
        <w:t xml:space="preserve"> </w:t>
      </w:r>
      <w:r w:rsidRPr="00507A4F">
        <w:rPr>
          <w:lang w:val="en-ZA"/>
        </w:rPr>
        <w:t>and in line with the National Integrated SRH</w:t>
      </w:r>
      <w:r w:rsidR="002140D9">
        <w:rPr>
          <w:lang w:val="en-ZA"/>
        </w:rPr>
        <w:t>&amp;R Policy (2019)</w:t>
      </w:r>
      <w:r w:rsidRPr="00507A4F">
        <w:rPr>
          <w:lang w:val="en-ZA"/>
        </w:rPr>
        <w:t>. It prescribes that all norms, standards, and clinical practice relating to TOP should promote:</w:t>
      </w:r>
    </w:p>
    <w:p w14:paraId="4DB38230" w14:textId="5A231C62" w:rsidR="00B3131A" w:rsidRPr="00A97D9E" w:rsidRDefault="00A97D9E" w:rsidP="00420B1E">
      <w:pPr>
        <w:pStyle w:val="ListParagraph"/>
        <w:numPr>
          <w:ilvl w:val="0"/>
          <w:numId w:val="3"/>
        </w:numPr>
        <w:rPr>
          <w:lang w:val="en-ZA"/>
        </w:rPr>
      </w:pPr>
      <w:r>
        <w:rPr>
          <w:lang w:val="en-ZA"/>
        </w:rPr>
        <w:lastRenderedPageBreak/>
        <w:t>H</w:t>
      </w:r>
      <w:r w:rsidR="006B67A9" w:rsidRPr="00A97D9E">
        <w:rPr>
          <w:lang w:val="en-ZA"/>
        </w:rPr>
        <w:t>ealth, well-being, and human rights</w:t>
      </w:r>
    </w:p>
    <w:p w14:paraId="7A9659BB" w14:textId="08F61126" w:rsidR="00B3131A" w:rsidRPr="00A97D9E" w:rsidRDefault="00A97D9E" w:rsidP="00420B1E">
      <w:pPr>
        <w:pStyle w:val="ListParagraph"/>
        <w:numPr>
          <w:ilvl w:val="0"/>
          <w:numId w:val="3"/>
        </w:numPr>
        <w:rPr>
          <w:lang w:val="en-ZA"/>
        </w:rPr>
      </w:pPr>
      <w:r>
        <w:rPr>
          <w:lang w:val="en-ZA"/>
        </w:rPr>
        <w:t>R</w:t>
      </w:r>
      <w:r w:rsidR="006B67A9" w:rsidRPr="00A97D9E">
        <w:rPr>
          <w:lang w:val="en-ZA"/>
        </w:rPr>
        <w:t>ights-based approach</w:t>
      </w:r>
      <w:r>
        <w:rPr>
          <w:lang w:val="en-ZA"/>
        </w:rPr>
        <w:t>es</w:t>
      </w:r>
      <w:r w:rsidR="006B67A9" w:rsidRPr="00A97D9E">
        <w:rPr>
          <w:lang w:val="en-ZA"/>
        </w:rPr>
        <w:t xml:space="preserve"> characterised by equality and non-discrimination</w:t>
      </w:r>
    </w:p>
    <w:p w14:paraId="74FD4328" w14:textId="0E28A9F8" w:rsidR="00B3131A" w:rsidRPr="00A97D9E" w:rsidRDefault="00A97D9E" w:rsidP="00420B1E">
      <w:pPr>
        <w:pStyle w:val="ListParagraph"/>
        <w:numPr>
          <w:ilvl w:val="0"/>
          <w:numId w:val="3"/>
        </w:numPr>
        <w:rPr>
          <w:lang w:val="en-ZA"/>
        </w:rPr>
      </w:pPr>
      <w:r>
        <w:rPr>
          <w:lang w:val="en-ZA"/>
        </w:rPr>
        <w:t>S</w:t>
      </w:r>
      <w:r w:rsidR="006B67A9" w:rsidRPr="00A97D9E">
        <w:rPr>
          <w:lang w:val="en-ZA"/>
        </w:rPr>
        <w:t xml:space="preserve">trong and visible stewardship </w:t>
      </w:r>
    </w:p>
    <w:p w14:paraId="330648D9" w14:textId="1F325085" w:rsidR="00B3131A" w:rsidRPr="00A97D9E" w:rsidRDefault="00A97D9E" w:rsidP="00420B1E">
      <w:pPr>
        <w:pStyle w:val="ListParagraph"/>
        <w:numPr>
          <w:ilvl w:val="0"/>
          <w:numId w:val="3"/>
        </w:numPr>
        <w:rPr>
          <w:lang w:val="en-ZA"/>
        </w:rPr>
      </w:pPr>
      <w:r>
        <w:rPr>
          <w:lang w:val="en-ZA"/>
        </w:rPr>
        <w:t>I</w:t>
      </w:r>
      <w:r w:rsidR="006B67A9" w:rsidRPr="00A97D9E">
        <w:rPr>
          <w:lang w:val="en-ZA"/>
        </w:rPr>
        <w:t xml:space="preserve">nformed and voluntary decision-making </w:t>
      </w:r>
    </w:p>
    <w:p w14:paraId="1325754A" w14:textId="24C3E4A8" w:rsidR="00B3131A" w:rsidRPr="00A97D9E" w:rsidRDefault="00A97D9E" w:rsidP="00420B1E">
      <w:pPr>
        <w:pStyle w:val="ListParagraph"/>
        <w:numPr>
          <w:ilvl w:val="0"/>
          <w:numId w:val="3"/>
        </w:numPr>
        <w:rPr>
          <w:lang w:val="en-ZA"/>
        </w:rPr>
      </w:pPr>
      <w:r>
        <w:rPr>
          <w:lang w:val="en-ZA"/>
        </w:rPr>
        <w:t>A</w:t>
      </w:r>
      <w:r w:rsidR="006B67A9" w:rsidRPr="00A97D9E">
        <w:rPr>
          <w:lang w:val="en-ZA"/>
        </w:rPr>
        <w:t>utonomy in decision-making</w:t>
      </w:r>
    </w:p>
    <w:p w14:paraId="1F11642A" w14:textId="33D6C7C6" w:rsidR="00B3131A" w:rsidRPr="00A97D9E" w:rsidRDefault="00A97D9E" w:rsidP="00420B1E">
      <w:pPr>
        <w:pStyle w:val="ListParagraph"/>
        <w:numPr>
          <w:ilvl w:val="0"/>
          <w:numId w:val="3"/>
        </w:numPr>
        <w:rPr>
          <w:lang w:val="en-ZA"/>
        </w:rPr>
      </w:pPr>
      <w:r>
        <w:rPr>
          <w:lang w:val="en-ZA"/>
        </w:rPr>
        <w:t>N</w:t>
      </w:r>
      <w:r w:rsidR="006B67A9" w:rsidRPr="00A97D9E">
        <w:rPr>
          <w:lang w:val="en-ZA"/>
        </w:rPr>
        <w:t>on-discrimination</w:t>
      </w:r>
    </w:p>
    <w:p w14:paraId="793C4F49" w14:textId="05EAF29F" w:rsidR="00B3131A" w:rsidRPr="00A97D9E" w:rsidRDefault="00A97D9E" w:rsidP="00420B1E">
      <w:pPr>
        <w:pStyle w:val="ListParagraph"/>
        <w:numPr>
          <w:ilvl w:val="0"/>
          <w:numId w:val="3"/>
        </w:numPr>
        <w:rPr>
          <w:lang w:val="en-ZA"/>
        </w:rPr>
      </w:pPr>
      <w:r>
        <w:rPr>
          <w:lang w:val="en-ZA"/>
        </w:rPr>
        <w:t>C</w:t>
      </w:r>
      <w:r w:rsidR="006B67A9" w:rsidRPr="00A97D9E">
        <w:rPr>
          <w:lang w:val="en-ZA"/>
        </w:rPr>
        <w:t>onfidentiality and privacy</w:t>
      </w:r>
    </w:p>
    <w:p w14:paraId="54E33419" w14:textId="77777777" w:rsidR="004F0BD1" w:rsidRDefault="004F0BD1" w:rsidP="00A97D9E"/>
    <w:p w14:paraId="1513CC7B" w14:textId="77777777" w:rsidR="004F0BD1" w:rsidRDefault="004F0BD1">
      <w:pPr>
        <w:spacing w:line="240" w:lineRule="auto"/>
      </w:pPr>
      <w:r>
        <w:br w:type="page"/>
      </w:r>
    </w:p>
    <w:p w14:paraId="287B8796" w14:textId="66398463" w:rsidR="004F0BD1" w:rsidRPr="00507D47" w:rsidRDefault="004F0BD1" w:rsidP="004F0BD1">
      <w:pPr>
        <w:pStyle w:val="Heading1"/>
        <w:rPr>
          <w:rFonts w:eastAsia="Arial"/>
        </w:rPr>
      </w:pPr>
      <w:bookmarkStart w:id="35" w:name="_Toc525688582"/>
      <w:bookmarkStart w:id="36" w:name="_Toc8387195"/>
      <w:r>
        <w:lastRenderedPageBreak/>
        <w:t>C</w:t>
      </w:r>
      <w:r w:rsidRPr="00507D47">
        <w:t>ircumstances and place where termination of pregnancy may take place</w:t>
      </w:r>
      <w:bookmarkEnd w:id="35"/>
      <w:bookmarkEnd w:id="36"/>
      <w:r w:rsidRPr="00507D47">
        <w:t xml:space="preserve"> </w:t>
      </w:r>
      <w:r w:rsidRPr="00507D47">
        <w:rPr>
          <w:rFonts w:eastAsia="Arial"/>
        </w:rPr>
        <w:t xml:space="preserve"> </w:t>
      </w:r>
    </w:p>
    <w:p w14:paraId="02D014D7" w14:textId="77777777" w:rsidR="004F0BD1" w:rsidRDefault="004F0BD1" w:rsidP="004F0BD1">
      <w:bookmarkStart w:id="37" w:name="_Toc525688583"/>
    </w:p>
    <w:p w14:paraId="260D4662" w14:textId="377AF32F" w:rsidR="004F0BD1" w:rsidRPr="00507D47" w:rsidRDefault="004F0BD1" w:rsidP="004F0BD1">
      <w:pPr>
        <w:pStyle w:val="Heading2"/>
      </w:pPr>
      <w:bookmarkStart w:id="38" w:name="_Toc8387196"/>
      <w:r w:rsidRPr="00507D47">
        <w:t>Who can terminate a pregnancy and when can a pregnancy be terminated?</w:t>
      </w:r>
      <w:bookmarkEnd w:id="37"/>
      <w:bookmarkEnd w:id="38"/>
      <w:r w:rsidRPr="00507D47">
        <w:t xml:space="preserve">  </w:t>
      </w:r>
    </w:p>
    <w:p w14:paraId="0488B59C" w14:textId="77777777" w:rsidR="004F0BD1" w:rsidRDefault="004F0BD1" w:rsidP="004F0BD1"/>
    <w:p w14:paraId="6651DC9D" w14:textId="2E9569B7" w:rsidR="004F0BD1" w:rsidRDefault="004F0BD1" w:rsidP="004F0BD1">
      <w:r>
        <w:t xml:space="preserve">The CTOP Act prescribes that only </w:t>
      </w:r>
      <w:r w:rsidRPr="00EA5EEC">
        <w:t xml:space="preserve">those persons </w:t>
      </w:r>
      <w:r>
        <w:t xml:space="preserve">who have the following qualifications and have undergone the prescribed training, as detailed in Chapter 5, </w:t>
      </w:r>
      <w:r w:rsidRPr="00EA5EEC">
        <w:t>can</w:t>
      </w:r>
      <w:r>
        <w:t xml:space="preserve"> provide </w:t>
      </w:r>
      <w:r w:rsidR="00A47E94">
        <w:t>TOP</w:t>
      </w:r>
      <w:r>
        <w:t xml:space="preserve"> services: </w:t>
      </w:r>
    </w:p>
    <w:p w14:paraId="6D896A05" w14:textId="77777777" w:rsidR="004F0BD1" w:rsidRPr="004F0BD1" w:rsidRDefault="004F0BD1" w:rsidP="00420B1E">
      <w:pPr>
        <w:pStyle w:val="ListParagraph"/>
        <w:numPr>
          <w:ilvl w:val="0"/>
          <w:numId w:val="3"/>
        </w:numPr>
        <w:rPr>
          <w:lang w:val="en-ZA"/>
        </w:rPr>
      </w:pPr>
      <w:r w:rsidRPr="004F0BD1">
        <w:rPr>
          <w:b/>
          <w:lang w:val="en-ZA"/>
        </w:rPr>
        <w:t>Registered medical practitioner</w:t>
      </w:r>
      <w:r w:rsidRPr="004F0BD1">
        <w:rPr>
          <w:lang w:val="en-ZA"/>
        </w:rPr>
        <w:t xml:space="preserve"> means a person registered with the Health Professions Council of South Africa, as required under the Medical, Dental and Supplementary Health Service Professions Act, 1974 (Act No. 56 of 1974)</w:t>
      </w:r>
      <w:r w:rsidRPr="004F0BD1">
        <w:rPr>
          <w:rFonts w:ascii="MS Gothic" w:eastAsia="MS Gothic" w:hAnsi="MS Gothic" w:cs="MS Gothic" w:hint="eastAsia"/>
          <w:lang w:val="en-ZA"/>
        </w:rPr>
        <w:t> </w:t>
      </w:r>
    </w:p>
    <w:p w14:paraId="4BB52CBD" w14:textId="77777777" w:rsidR="004F0BD1" w:rsidRPr="004F0BD1" w:rsidRDefault="004F0BD1" w:rsidP="00420B1E">
      <w:pPr>
        <w:pStyle w:val="ListParagraph"/>
        <w:numPr>
          <w:ilvl w:val="0"/>
          <w:numId w:val="3"/>
        </w:numPr>
        <w:rPr>
          <w:lang w:val="en-ZA"/>
        </w:rPr>
      </w:pPr>
      <w:r w:rsidRPr="004F0BD1">
        <w:rPr>
          <w:b/>
          <w:lang w:val="en-ZA"/>
        </w:rPr>
        <w:t>Registered nurse</w:t>
      </w:r>
      <w:r w:rsidRPr="004F0BD1">
        <w:rPr>
          <w:lang w:val="en-ZA"/>
        </w:rPr>
        <w:t xml:space="preserve"> means a person registered with the South African Nursing Council, as required under the Nursing Act (Act No. 33 of 2005)</w:t>
      </w:r>
    </w:p>
    <w:p w14:paraId="0082304C" w14:textId="379B0C4D" w:rsidR="004F0BD1" w:rsidRPr="004F0BD1" w:rsidRDefault="004F0BD1" w:rsidP="00420B1E">
      <w:pPr>
        <w:pStyle w:val="ListParagraph"/>
        <w:numPr>
          <w:ilvl w:val="0"/>
          <w:numId w:val="3"/>
        </w:numPr>
        <w:rPr>
          <w:lang w:val="en-ZA"/>
        </w:rPr>
      </w:pPr>
      <w:r w:rsidRPr="004F0BD1">
        <w:rPr>
          <w:b/>
          <w:lang w:val="en-ZA"/>
        </w:rPr>
        <w:t>Registered midwife</w:t>
      </w:r>
      <w:r w:rsidRPr="004F0BD1">
        <w:rPr>
          <w:lang w:val="en-ZA"/>
        </w:rPr>
        <w:t xml:space="preserve"> means a person registered with the South African Nursing Council, as required under the Nursing Act (Act No. 33 of 2005)</w:t>
      </w:r>
    </w:p>
    <w:p w14:paraId="1D837AB9" w14:textId="77777777" w:rsidR="004F0BD1" w:rsidRDefault="004F0BD1" w:rsidP="004F0BD1"/>
    <w:p w14:paraId="5807DE01" w14:textId="1600A789" w:rsidR="004F0BD1" w:rsidRDefault="00FB0357" w:rsidP="004F0BD1">
      <w:r>
        <w:t>As</w:t>
      </w:r>
      <w:r w:rsidR="004F0BD1">
        <w:t xml:space="preserve"> per </w:t>
      </w:r>
      <w:r w:rsidR="001E1260">
        <w:fldChar w:fldCharType="begin"/>
      </w:r>
      <w:r w:rsidR="001E1260">
        <w:instrText xml:space="preserve"> REF _Ref531260674 \h </w:instrText>
      </w:r>
      <w:r w:rsidR="001E1260">
        <w:fldChar w:fldCharType="separate"/>
      </w:r>
      <w:r w:rsidR="001E1260">
        <w:t xml:space="preserve">Table </w:t>
      </w:r>
      <w:r w:rsidR="001E1260">
        <w:rPr>
          <w:noProof/>
        </w:rPr>
        <w:t>1</w:t>
      </w:r>
      <w:r w:rsidR="001E1260">
        <w:fldChar w:fldCharType="end"/>
      </w:r>
      <w:r w:rsidR="001E1260">
        <w:t xml:space="preserve"> </w:t>
      </w:r>
      <w:r w:rsidR="004F0BD1">
        <w:t xml:space="preserve">below, the CTOP Act further prescribes the following: </w:t>
      </w:r>
    </w:p>
    <w:p w14:paraId="7808F671" w14:textId="0AE3501B" w:rsidR="004F0BD1" w:rsidRDefault="004F0BD1" w:rsidP="004F0BD1"/>
    <w:p w14:paraId="4DDD7683" w14:textId="2D655824" w:rsidR="001E1260" w:rsidRPr="003F4CEF" w:rsidRDefault="001E1260" w:rsidP="001E1260">
      <w:pPr>
        <w:pStyle w:val="Caption"/>
        <w:keepNext/>
        <w:rPr>
          <w:sz w:val="20"/>
        </w:rPr>
      </w:pPr>
      <w:bookmarkStart w:id="39" w:name="_Ref531260674"/>
      <w:bookmarkStart w:id="40" w:name="_Toc8387219"/>
      <w:r w:rsidRPr="003F4CEF">
        <w:rPr>
          <w:sz w:val="20"/>
        </w:rPr>
        <w:t xml:space="preserve">Table </w:t>
      </w:r>
      <w:r w:rsidRPr="003F4CEF">
        <w:rPr>
          <w:sz w:val="20"/>
        </w:rPr>
        <w:fldChar w:fldCharType="begin"/>
      </w:r>
      <w:r w:rsidRPr="003F4CEF">
        <w:rPr>
          <w:sz w:val="20"/>
        </w:rPr>
        <w:instrText xml:space="preserve"> SEQ Table \* ARABIC </w:instrText>
      </w:r>
      <w:r w:rsidRPr="003F4CEF">
        <w:rPr>
          <w:sz w:val="20"/>
        </w:rPr>
        <w:fldChar w:fldCharType="separate"/>
      </w:r>
      <w:r w:rsidR="00183285" w:rsidRPr="003F4CEF">
        <w:rPr>
          <w:noProof/>
          <w:sz w:val="20"/>
        </w:rPr>
        <w:t>1</w:t>
      </w:r>
      <w:r w:rsidRPr="003F4CEF">
        <w:rPr>
          <w:sz w:val="20"/>
        </w:rPr>
        <w:fldChar w:fldCharType="end"/>
      </w:r>
      <w:bookmarkEnd w:id="39"/>
      <w:r w:rsidRPr="003F4CEF">
        <w:rPr>
          <w:sz w:val="20"/>
        </w:rPr>
        <w:t>. When, who, and under what condition a pregnancy can be terminated</w:t>
      </w:r>
      <w:bookmarkEnd w:id="40"/>
    </w:p>
    <w:tbl>
      <w:tblPr>
        <w:tblStyle w:val="GridTable4-Accent3"/>
        <w:tblW w:w="9348" w:type="dxa"/>
        <w:tblLook w:val="04A0" w:firstRow="1" w:lastRow="0" w:firstColumn="1" w:lastColumn="0" w:noHBand="0" w:noVBand="1"/>
      </w:tblPr>
      <w:tblGrid>
        <w:gridCol w:w="2065"/>
        <w:gridCol w:w="2790"/>
        <w:gridCol w:w="4493"/>
      </w:tblGrid>
      <w:tr w:rsidR="004F0BD1" w:rsidRPr="004F0BD1" w14:paraId="3A40D2EA" w14:textId="77777777" w:rsidTr="004F0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9DD2E26" w14:textId="530C2E06" w:rsidR="004F0BD1" w:rsidRPr="004F0BD1" w:rsidRDefault="004F0BD1" w:rsidP="004F0BD1">
            <w:pPr>
              <w:jc w:val="center"/>
              <w:rPr>
                <w:sz w:val="20"/>
                <w:szCs w:val="20"/>
              </w:rPr>
            </w:pPr>
            <w:r w:rsidRPr="004F0BD1">
              <w:rPr>
                <w:sz w:val="20"/>
                <w:szCs w:val="20"/>
              </w:rPr>
              <w:t>In what gestation period?</w:t>
            </w:r>
          </w:p>
        </w:tc>
        <w:tc>
          <w:tcPr>
            <w:tcW w:w="2790" w:type="dxa"/>
          </w:tcPr>
          <w:p w14:paraId="554033A2" w14:textId="154E7952" w:rsidR="004F0BD1" w:rsidRPr="004F0BD1" w:rsidRDefault="004F0BD1" w:rsidP="004F0BD1">
            <w:pPr>
              <w:jc w:val="center"/>
              <w:cnfStyle w:val="100000000000" w:firstRow="1" w:lastRow="0" w:firstColumn="0" w:lastColumn="0" w:oddVBand="0" w:evenVBand="0" w:oddHBand="0" w:evenHBand="0" w:firstRowFirstColumn="0" w:firstRowLastColumn="0" w:lastRowFirstColumn="0" w:lastRowLastColumn="0"/>
              <w:rPr>
                <w:sz w:val="20"/>
                <w:szCs w:val="20"/>
              </w:rPr>
            </w:pPr>
            <w:r w:rsidRPr="004F0BD1">
              <w:rPr>
                <w:sz w:val="20"/>
                <w:szCs w:val="20"/>
              </w:rPr>
              <w:t>Who can terminate the pregnancy?</w:t>
            </w:r>
          </w:p>
        </w:tc>
        <w:tc>
          <w:tcPr>
            <w:tcW w:w="4493" w:type="dxa"/>
          </w:tcPr>
          <w:p w14:paraId="1B09A0CD" w14:textId="1BDEDDD7" w:rsidR="004F0BD1" w:rsidRPr="004F0BD1" w:rsidRDefault="004F0BD1" w:rsidP="004F0BD1">
            <w:pPr>
              <w:jc w:val="center"/>
              <w:cnfStyle w:val="100000000000" w:firstRow="1" w:lastRow="0" w:firstColumn="0" w:lastColumn="0" w:oddVBand="0" w:evenVBand="0" w:oddHBand="0" w:evenHBand="0" w:firstRowFirstColumn="0" w:firstRowLastColumn="0" w:lastRowFirstColumn="0" w:lastRowLastColumn="0"/>
              <w:rPr>
                <w:sz w:val="20"/>
                <w:szCs w:val="20"/>
              </w:rPr>
            </w:pPr>
            <w:r w:rsidRPr="004F0BD1">
              <w:rPr>
                <w:sz w:val="20"/>
                <w:szCs w:val="20"/>
              </w:rPr>
              <w:t>Under what conditions?</w:t>
            </w:r>
          </w:p>
        </w:tc>
      </w:tr>
      <w:tr w:rsidR="004F0BD1" w:rsidRPr="004F0BD1" w14:paraId="4079D992" w14:textId="77777777" w:rsidTr="004F0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4BA4316" w14:textId="2BC69CB0" w:rsidR="004F0BD1" w:rsidRDefault="00950A1D" w:rsidP="004F0BD1">
            <w:pPr>
              <w:rPr>
                <w:b w:val="0"/>
                <w:bCs w:val="0"/>
                <w:sz w:val="20"/>
                <w:szCs w:val="20"/>
              </w:rPr>
            </w:pPr>
            <w:r>
              <w:rPr>
                <w:sz w:val="20"/>
                <w:szCs w:val="20"/>
              </w:rPr>
              <w:t xml:space="preserve">Up to </w:t>
            </w:r>
            <w:r w:rsidR="004F0BD1" w:rsidRPr="004F0BD1">
              <w:rPr>
                <w:sz w:val="20"/>
                <w:szCs w:val="20"/>
              </w:rPr>
              <w:t xml:space="preserve">12 weeks </w:t>
            </w:r>
            <w:r w:rsidR="004F0BD1">
              <w:rPr>
                <w:sz w:val="20"/>
                <w:szCs w:val="20"/>
              </w:rPr>
              <w:t>+</w:t>
            </w:r>
            <w:r w:rsidR="003963B4">
              <w:rPr>
                <w:sz w:val="20"/>
                <w:szCs w:val="20"/>
              </w:rPr>
              <w:t xml:space="preserve"> 6</w:t>
            </w:r>
            <w:r>
              <w:rPr>
                <w:sz w:val="20"/>
                <w:szCs w:val="20"/>
              </w:rPr>
              <w:t xml:space="preserve"> days </w:t>
            </w:r>
            <w:r w:rsidR="004F0BD1" w:rsidRPr="004F0BD1">
              <w:rPr>
                <w:sz w:val="20"/>
                <w:szCs w:val="20"/>
              </w:rPr>
              <w:t xml:space="preserve"> </w:t>
            </w:r>
          </w:p>
          <w:p w14:paraId="21F7D5E8" w14:textId="72B93A19" w:rsidR="004F0BD1" w:rsidRPr="004F0BD1" w:rsidRDefault="004F0BD1" w:rsidP="004F0BD1">
            <w:pPr>
              <w:rPr>
                <w:sz w:val="20"/>
                <w:szCs w:val="20"/>
              </w:rPr>
            </w:pPr>
            <w:r w:rsidRPr="004F0BD1">
              <w:rPr>
                <w:sz w:val="20"/>
                <w:szCs w:val="20"/>
              </w:rPr>
              <w:t>(</w:t>
            </w:r>
            <w:r>
              <w:rPr>
                <w:sz w:val="20"/>
                <w:szCs w:val="20"/>
              </w:rPr>
              <w:t>1st</w:t>
            </w:r>
            <w:r w:rsidRPr="004F0BD1">
              <w:rPr>
                <w:sz w:val="20"/>
                <w:szCs w:val="20"/>
              </w:rPr>
              <w:t xml:space="preserve"> </w:t>
            </w:r>
            <w:r>
              <w:rPr>
                <w:sz w:val="20"/>
                <w:szCs w:val="20"/>
              </w:rPr>
              <w:t>t</w:t>
            </w:r>
            <w:r w:rsidRPr="004F0BD1">
              <w:rPr>
                <w:sz w:val="20"/>
                <w:szCs w:val="20"/>
              </w:rPr>
              <w:t>rimester)</w:t>
            </w:r>
          </w:p>
        </w:tc>
        <w:tc>
          <w:tcPr>
            <w:tcW w:w="2790" w:type="dxa"/>
          </w:tcPr>
          <w:p w14:paraId="779CDA35" w14:textId="5152146D" w:rsidR="004F0BD1" w:rsidRPr="004F0BD1" w:rsidRDefault="004F0BD1"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 xml:space="preserve">Registered </w:t>
            </w:r>
            <w:r>
              <w:rPr>
                <w:sz w:val="20"/>
                <w:szCs w:val="20"/>
              </w:rPr>
              <w:t xml:space="preserve">and </w:t>
            </w:r>
            <w:r w:rsidRPr="004F0BD1">
              <w:rPr>
                <w:sz w:val="20"/>
                <w:szCs w:val="20"/>
              </w:rPr>
              <w:t xml:space="preserve">trained medical practitioner </w:t>
            </w:r>
          </w:p>
          <w:p w14:paraId="576C0EA0" w14:textId="09DE0502" w:rsidR="004F0BD1" w:rsidRPr="004F0BD1" w:rsidRDefault="004F0BD1"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 xml:space="preserve">Registered </w:t>
            </w:r>
            <w:r>
              <w:rPr>
                <w:sz w:val="20"/>
                <w:szCs w:val="20"/>
              </w:rPr>
              <w:t xml:space="preserve">and </w:t>
            </w:r>
            <w:r w:rsidRPr="004F0BD1">
              <w:rPr>
                <w:sz w:val="20"/>
                <w:szCs w:val="20"/>
              </w:rPr>
              <w:t xml:space="preserve">trained nurse </w:t>
            </w:r>
          </w:p>
          <w:p w14:paraId="3BD5F767" w14:textId="3E50079A" w:rsidR="004F0BD1" w:rsidRPr="004F0BD1" w:rsidRDefault="004F0BD1"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 xml:space="preserve">Registered </w:t>
            </w:r>
            <w:r>
              <w:rPr>
                <w:sz w:val="20"/>
                <w:szCs w:val="20"/>
              </w:rPr>
              <w:t xml:space="preserve">and </w:t>
            </w:r>
            <w:r w:rsidRPr="004F0BD1">
              <w:rPr>
                <w:sz w:val="20"/>
                <w:szCs w:val="20"/>
              </w:rPr>
              <w:t>trained midwife</w:t>
            </w:r>
          </w:p>
        </w:tc>
        <w:tc>
          <w:tcPr>
            <w:tcW w:w="4493" w:type="dxa"/>
          </w:tcPr>
          <w:p w14:paraId="1A810742" w14:textId="4CC0A701" w:rsidR="004F0BD1" w:rsidRPr="004F0BD1" w:rsidRDefault="004F0BD1" w:rsidP="004F0BD1">
            <w:pPr>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Upon request from the woman (no reason required)</w:t>
            </w:r>
          </w:p>
        </w:tc>
      </w:tr>
      <w:tr w:rsidR="004F0BD1" w:rsidRPr="004F0BD1" w14:paraId="54725234" w14:textId="77777777" w:rsidTr="004F0BD1">
        <w:tc>
          <w:tcPr>
            <w:cnfStyle w:val="001000000000" w:firstRow="0" w:lastRow="0" w:firstColumn="1" w:lastColumn="0" w:oddVBand="0" w:evenVBand="0" w:oddHBand="0" w:evenHBand="0" w:firstRowFirstColumn="0" w:firstRowLastColumn="0" w:lastRowFirstColumn="0" w:lastRowLastColumn="0"/>
            <w:tcW w:w="2065" w:type="dxa"/>
          </w:tcPr>
          <w:p w14:paraId="17842A53" w14:textId="3EE248CB" w:rsidR="004F0BD1" w:rsidRPr="004F0BD1" w:rsidRDefault="00950A1D" w:rsidP="004F0BD1">
            <w:pPr>
              <w:rPr>
                <w:sz w:val="20"/>
                <w:szCs w:val="20"/>
              </w:rPr>
            </w:pPr>
            <w:r>
              <w:rPr>
                <w:sz w:val="20"/>
                <w:szCs w:val="20"/>
              </w:rPr>
              <w:t xml:space="preserve">Between </w:t>
            </w:r>
            <w:r w:rsidR="004F0BD1" w:rsidRPr="004F0BD1">
              <w:rPr>
                <w:sz w:val="20"/>
                <w:szCs w:val="20"/>
              </w:rPr>
              <w:t>13</w:t>
            </w:r>
            <w:r w:rsidR="003963B4">
              <w:rPr>
                <w:sz w:val="20"/>
                <w:szCs w:val="20"/>
              </w:rPr>
              <w:t xml:space="preserve"> weeks + 0 days</w:t>
            </w:r>
            <w:r w:rsidR="004F0BD1" w:rsidRPr="004F0BD1">
              <w:rPr>
                <w:sz w:val="20"/>
                <w:szCs w:val="20"/>
              </w:rPr>
              <w:t xml:space="preserve"> </w:t>
            </w:r>
            <w:r>
              <w:rPr>
                <w:sz w:val="20"/>
                <w:szCs w:val="20"/>
              </w:rPr>
              <w:t>to</w:t>
            </w:r>
            <w:r w:rsidR="004F0BD1">
              <w:rPr>
                <w:sz w:val="20"/>
                <w:szCs w:val="20"/>
              </w:rPr>
              <w:t xml:space="preserve"> </w:t>
            </w:r>
            <w:r w:rsidR="004F0BD1" w:rsidRPr="004F0BD1">
              <w:rPr>
                <w:sz w:val="20"/>
                <w:szCs w:val="20"/>
              </w:rPr>
              <w:t xml:space="preserve">20 weeks </w:t>
            </w:r>
            <w:r w:rsidR="004F0BD1">
              <w:rPr>
                <w:sz w:val="20"/>
                <w:szCs w:val="20"/>
              </w:rPr>
              <w:t>+ 6</w:t>
            </w:r>
            <w:r w:rsidR="004F0BD1" w:rsidRPr="004F0BD1">
              <w:rPr>
                <w:sz w:val="20"/>
                <w:szCs w:val="20"/>
              </w:rPr>
              <w:t xml:space="preserve"> days</w:t>
            </w:r>
            <w:r w:rsidR="004F0BD1">
              <w:rPr>
                <w:sz w:val="20"/>
                <w:szCs w:val="20"/>
              </w:rPr>
              <w:t xml:space="preserve"> </w:t>
            </w:r>
          </w:p>
        </w:tc>
        <w:tc>
          <w:tcPr>
            <w:tcW w:w="2790" w:type="dxa"/>
          </w:tcPr>
          <w:p w14:paraId="44586900" w14:textId="125C2E93" w:rsidR="004F0BD1" w:rsidRPr="004F0BD1" w:rsidRDefault="004F0BD1" w:rsidP="00420B1E">
            <w:pPr>
              <w:pStyle w:val="ListParagraph"/>
              <w:numPr>
                <w:ilvl w:val="0"/>
                <w:numId w:val="4"/>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4F0BD1">
              <w:rPr>
                <w:sz w:val="20"/>
                <w:szCs w:val="20"/>
              </w:rPr>
              <w:t xml:space="preserve">Registered and trained medical practitioner </w:t>
            </w:r>
          </w:p>
        </w:tc>
        <w:tc>
          <w:tcPr>
            <w:tcW w:w="4493" w:type="dxa"/>
          </w:tcPr>
          <w:p w14:paraId="6C9CE3B2" w14:textId="77777777" w:rsidR="004F0BD1" w:rsidRPr="004F0BD1" w:rsidRDefault="004F0BD1" w:rsidP="00420B1E">
            <w:pPr>
              <w:pStyle w:val="ListParagraph"/>
              <w:numPr>
                <w:ilvl w:val="0"/>
                <w:numId w:val="4"/>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4F0BD1">
              <w:rPr>
                <w:sz w:val="20"/>
                <w:szCs w:val="20"/>
              </w:rPr>
              <w:t>The continued pregnancy would pose risk of injury to the woman’s physical or mental health</w:t>
            </w:r>
          </w:p>
          <w:p w14:paraId="59D826B6" w14:textId="75DB1597" w:rsidR="004F0BD1" w:rsidRPr="004F0BD1" w:rsidRDefault="004F0BD1" w:rsidP="00420B1E">
            <w:pPr>
              <w:pStyle w:val="ListParagraph"/>
              <w:numPr>
                <w:ilvl w:val="0"/>
                <w:numId w:val="4"/>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4F0BD1">
              <w:rPr>
                <w:sz w:val="20"/>
                <w:szCs w:val="20"/>
              </w:rPr>
              <w:t xml:space="preserve">There is substantial risk that the </w:t>
            </w:r>
            <w:r w:rsidR="00B353F2">
              <w:rPr>
                <w:sz w:val="20"/>
                <w:szCs w:val="20"/>
              </w:rPr>
              <w:t>foetus</w:t>
            </w:r>
            <w:r w:rsidRPr="004F0BD1">
              <w:rPr>
                <w:sz w:val="20"/>
                <w:szCs w:val="20"/>
              </w:rPr>
              <w:t xml:space="preserve"> would suffer from physical or mental abnormality</w:t>
            </w:r>
          </w:p>
          <w:p w14:paraId="5452087B" w14:textId="77777777" w:rsidR="004F0BD1" w:rsidRPr="004F0BD1" w:rsidRDefault="004F0BD1" w:rsidP="00420B1E">
            <w:pPr>
              <w:pStyle w:val="ListParagraph"/>
              <w:numPr>
                <w:ilvl w:val="0"/>
                <w:numId w:val="4"/>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4F0BD1">
              <w:rPr>
                <w:sz w:val="20"/>
                <w:szCs w:val="20"/>
              </w:rPr>
              <w:t>The pregnancy resulted from rape or incest</w:t>
            </w:r>
          </w:p>
          <w:p w14:paraId="0EC0FD58" w14:textId="6A1C33E4" w:rsidR="004F0BD1" w:rsidRPr="004F0BD1" w:rsidRDefault="004F0BD1" w:rsidP="00420B1E">
            <w:pPr>
              <w:pStyle w:val="ListParagraph"/>
              <w:numPr>
                <w:ilvl w:val="0"/>
                <w:numId w:val="4"/>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4F0BD1">
              <w:rPr>
                <w:sz w:val="20"/>
                <w:szCs w:val="20"/>
              </w:rPr>
              <w:t>The continued pregnancy would significantly affect the social or economic circumstances of the woman</w:t>
            </w:r>
          </w:p>
        </w:tc>
      </w:tr>
      <w:tr w:rsidR="004F0BD1" w:rsidRPr="004F0BD1" w14:paraId="0F461319" w14:textId="77777777" w:rsidTr="004F0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F6A18DF" w14:textId="516E45C1" w:rsidR="004F0BD1" w:rsidRPr="004F0BD1" w:rsidRDefault="00950A1D" w:rsidP="004F0BD1">
            <w:pPr>
              <w:rPr>
                <w:sz w:val="20"/>
                <w:szCs w:val="20"/>
              </w:rPr>
            </w:pPr>
            <w:r>
              <w:rPr>
                <w:sz w:val="20"/>
                <w:szCs w:val="20"/>
              </w:rPr>
              <w:t>After</w:t>
            </w:r>
            <w:r w:rsidR="004F0BD1" w:rsidRPr="004F0BD1">
              <w:rPr>
                <w:sz w:val="20"/>
                <w:szCs w:val="20"/>
              </w:rPr>
              <w:t xml:space="preserve"> 20 weeks</w:t>
            </w:r>
            <w:r>
              <w:rPr>
                <w:sz w:val="20"/>
                <w:szCs w:val="20"/>
              </w:rPr>
              <w:t xml:space="preserve"> + 6 days </w:t>
            </w:r>
          </w:p>
        </w:tc>
        <w:tc>
          <w:tcPr>
            <w:tcW w:w="2790" w:type="dxa"/>
          </w:tcPr>
          <w:p w14:paraId="4448E9BE" w14:textId="5B4938F6" w:rsidR="004F0BD1" w:rsidRPr="004F0BD1" w:rsidRDefault="004F0BD1"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 xml:space="preserve">Registered </w:t>
            </w:r>
            <w:r>
              <w:rPr>
                <w:sz w:val="20"/>
                <w:szCs w:val="20"/>
              </w:rPr>
              <w:t>and</w:t>
            </w:r>
            <w:r w:rsidRPr="004F0BD1">
              <w:rPr>
                <w:sz w:val="20"/>
                <w:szCs w:val="20"/>
              </w:rPr>
              <w:t xml:space="preserve"> trained medical practitioner </w:t>
            </w:r>
          </w:p>
        </w:tc>
        <w:tc>
          <w:tcPr>
            <w:tcW w:w="4493" w:type="dxa"/>
          </w:tcPr>
          <w:p w14:paraId="497EF757" w14:textId="77777777" w:rsidR="004F0BD1" w:rsidRPr="004F0BD1" w:rsidRDefault="004F0BD1" w:rsidP="004F0BD1">
            <w:pPr>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The providing medical practitioner must consult with another registered medical practitioner, registered nurse or registered midwife to be of the opinion that continuing the pregnancy would:</w:t>
            </w:r>
          </w:p>
          <w:p w14:paraId="26E3B1B4" w14:textId="77777777" w:rsidR="004F0BD1" w:rsidRPr="004F0BD1" w:rsidRDefault="004F0BD1"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Endanger the woman’s life</w:t>
            </w:r>
          </w:p>
          <w:p w14:paraId="08250BDA" w14:textId="2F4C1A96" w:rsidR="004F0BD1" w:rsidRPr="004F0BD1" w:rsidRDefault="004F0BD1"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 xml:space="preserve">Result in severe malformation of the </w:t>
            </w:r>
            <w:r w:rsidR="00B353F2">
              <w:rPr>
                <w:sz w:val="20"/>
                <w:szCs w:val="20"/>
              </w:rPr>
              <w:t>foetus</w:t>
            </w:r>
          </w:p>
          <w:p w14:paraId="3C3C09D9" w14:textId="69FB2359" w:rsidR="004F0BD1" w:rsidRPr="00943BE9" w:rsidRDefault="004F0BD1"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4F0BD1">
              <w:rPr>
                <w:sz w:val="20"/>
                <w:szCs w:val="20"/>
              </w:rPr>
              <w:t xml:space="preserve">Pose a risk of injury to the </w:t>
            </w:r>
            <w:r w:rsidR="00B353F2">
              <w:rPr>
                <w:sz w:val="20"/>
                <w:szCs w:val="20"/>
              </w:rPr>
              <w:t>foetus</w:t>
            </w:r>
          </w:p>
        </w:tc>
      </w:tr>
    </w:tbl>
    <w:p w14:paraId="4D84C372" w14:textId="54E44420" w:rsidR="004F0BD1" w:rsidRDefault="004F0BD1" w:rsidP="001E1260"/>
    <w:p w14:paraId="4DD372F6" w14:textId="77777777" w:rsidR="001E1260" w:rsidRPr="00507D47" w:rsidRDefault="001E1260" w:rsidP="001E1260">
      <w:pPr>
        <w:pStyle w:val="Heading2"/>
      </w:pPr>
      <w:bookmarkStart w:id="41" w:name="_Toc525688584"/>
      <w:bookmarkStart w:id="42" w:name="_Toc8387197"/>
      <w:r w:rsidRPr="00507D47">
        <w:lastRenderedPageBreak/>
        <w:t>Where can a pregnancy be terminated?</w:t>
      </w:r>
      <w:bookmarkEnd w:id="41"/>
      <w:bookmarkEnd w:id="42"/>
      <w:r w:rsidRPr="00507D47">
        <w:t xml:space="preserve">  </w:t>
      </w:r>
    </w:p>
    <w:p w14:paraId="28D6CB42" w14:textId="77777777" w:rsidR="001E1260" w:rsidRDefault="001E1260" w:rsidP="001E1260">
      <w:pPr>
        <w:keepNext/>
        <w:keepLines/>
      </w:pPr>
    </w:p>
    <w:p w14:paraId="43EE21CE" w14:textId="2FFBDCEF" w:rsidR="001E1260" w:rsidRDefault="001E1260" w:rsidP="001E1260">
      <w:pPr>
        <w:keepNext/>
        <w:keepLines/>
      </w:pPr>
      <w:r>
        <w:t>A pregnancy can be terminated at most health c</w:t>
      </w:r>
      <w:r w:rsidR="00C50C34">
        <w:t>are facilities, and as such</w:t>
      </w:r>
      <w:r w:rsidR="00BF4E05">
        <w:t>, all</w:t>
      </w:r>
      <w:r w:rsidR="00C50C34">
        <w:t xml:space="preserve"> health facilities</w:t>
      </w:r>
      <w:r>
        <w:t xml:space="preserve"> </w:t>
      </w:r>
      <w:r w:rsidR="00BF4E05">
        <w:rPr>
          <w:b/>
        </w:rPr>
        <w:t>should</w:t>
      </w:r>
      <w:r>
        <w:t xml:space="preserve"> seek to fulfil the criteria in </w:t>
      </w:r>
      <w:r w:rsidR="00AF1598">
        <w:fldChar w:fldCharType="begin"/>
      </w:r>
      <w:r w:rsidR="00AF1598">
        <w:instrText xml:space="preserve"> REF _Ref531260955 \h </w:instrText>
      </w:r>
      <w:r w:rsidR="00AF1598">
        <w:fldChar w:fldCharType="separate"/>
      </w:r>
      <w:r w:rsidR="00AF1598">
        <w:t xml:space="preserve">Table </w:t>
      </w:r>
      <w:r w:rsidR="00AF1598">
        <w:rPr>
          <w:noProof/>
        </w:rPr>
        <w:t>2</w:t>
      </w:r>
      <w:r w:rsidR="00AF1598">
        <w:fldChar w:fldCharType="end"/>
      </w:r>
      <w:r w:rsidR="00AF1598">
        <w:t xml:space="preserve"> </w:t>
      </w:r>
      <w:r w:rsidR="001D52D5">
        <w:t>to enable site designation and provision of TOP</w:t>
      </w:r>
      <w:r w:rsidR="00AE353E">
        <w:t xml:space="preserve"> </w:t>
      </w:r>
      <w:r w:rsidR="001D52D5">
        <w:t>services</w:t>
      </w:r>
      <w:r>
        <w:t>.</w:t>
      </w:r>
    </w:p>
    <w:p w14:paraId="2261BCA3" w14:textId="1A8E7F47" w:rsidR="001E1260" w:rsidRDefault="001E1260" w:rsidP="001E1260">
      <w:pPr>
        <w:keepNext/>
        <w:keepLines/>
      </w:pPr>
    </w:p>
    <w:p w14:paraId="0D207EF2" w14:textId="2930D450" w:rsidR="00AF1598" w:rsidRPr="003F4CEF" w:rsidRDefault="00AF1598" w:rsidP="00AF1598">
      <w:pPr>
        <w:pStyle w:val="Caption"/>
        <w:keepNext/>
        <w:rPr>
          <w:sz w:val="20"/>
        </w:rPr>
      </w:pPr>
      <w:bookmarkStart w:id="43" w:name="_Ref531260955"/>
      <w:bookmarkStart w:id="44" w:name="_Toc8387220"/>
      <w:r w:rsidRPr="003F4CEF">
        <w:rPr>
          <w:sz w:val="20"/>
        </w:rPr>
        <w:t xml:space="preserve">Table </w:t>
      </w:r>
      <w:r w:rsidRPr="003F4CEF">
        <w:rPr>
          <w:sz w:val="20"/>
        </w:rPr>
        <w:fldChar w:fldCharType="begin"/>
      </w:r>
      <w:r w:rsidRPr="003F4CEF">
        <w:rPr>
          <w:sz w:val="20"/>
        </w:rPr>
        <w:instrText xml:space="preserve"> SEQ Table \* ARABIC </w:instrText>
      </w:r>
      <w:r w:rsidRPr="003F4CEF">
        <w:rPr>
          <w:sz w:val="20"/>
        </w:rPr>
        <w:fldChar w:fldCharType="separate"/>
      </w:r>
      <w:r w:rsidR="00183285" w:rsidRPr="003F4CEF">
        <w:rPr>
          <w:noProof/>
          <w:sz w:val="20"/>
        </w:rPr>
        <w:t>2</w:t>
      </w:r>
      <w:r w:rsidRPr="003F4CEF">
        <w:rPr>
          <w:sz w:val="20"/>
        </w:rPr>
        <w:fldChar w:fldCharType="end"/>
      </w:r>
      <w:bookmarkEnd w:id="43"/>
      <w:r w:rsidRPr="003F4CEF">
        <w:rPr>
          <w:sz w:val="20"/>
        </w:rPr>
        <w:t>. Site criteria at which a pregnancy can be terminated</w:t>
      </w:r>
      <w:bookmarkEnd w:id="44"/>
    </w:p>
    <w:tbl>
      <w:tblPr>
        <w:tblStyle w:val="GridTable4-Accent3"/>
        <w:tblW w:w="9350" w:type="dxa"/>
        <w:tblLook w:val="04A0" w:firstRow="1" w:lastRow="0" w:firstColumn="1" w:lastColumn="0" w:noHBand="0" w:noVBand="1"/>
      </w:tblPr>
      <w:tblGrid>
        <w:gridCol w:w="4135"/>
        <w:gridCol w:w="5215"/>
      </w:tblGrid>
      <w:tr w:rsidR="001E1260" w:rsidRPr="001E1260" w14:paraId="3C1A9BD6" w14:textId="77777777" w:rsidTr="005D3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8FD7894" w14:textId="097C2E00" w:rsidR="001E1260" w:rsidRPr="001E1260" w:rsidRDefault="001E1260" w:rsidP="001E1260">
            <w:pPr>
              <w:keepNext/>
              <w:keepLines/>
              <w:jc w:val="center"/>
              <w:rPr>
                <w:sz w:val="20"/>
                <w:szCs w:val="20"/>
              </w:rPr>
            </w:pPr>
            <w:r w:rsidRPr="001E1260">
              <w:rPr>
                <w:sz w:val="20"/>
                <w:szCs w:val="20"/>
              </w:rPr>
              <w:t>Criteria (as per CTOP Act)</w:t>
            </w:r>
          </w:p>
        </w:tc>
        <w:tc>
          <w:tcPr>
            <w:tcW w:w="5215" w:type="dxa"/>
          </w:tcPr>
          <w:p w14:paraId="1F079903" w14:textId="7BFD6C05" w:rsidR="001E1260" w:rsidRPr="001E1260" w:rsidRDefault="001E1260" w:rsidP="001E1260">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1E1260">
              <w:rPr>
                <w:sz w:val="20"/>
                <w:szCs w:val="20"/>
              </w:rPr>
              <w:t>Minimum Operational Definition</w:t>
            </w:r>
          </w:p>
        </w:tc>
      </w:tr>
      <w:tr w:rsidR="001E1260" w:rsidRPr="001E1260" w14:paraId="7AC1FEE4" w14:textId="77777777" w:rsidTr="005D3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716E633" w14:textId="5E6AB9E6" w:rsidR="001E1260" w:rsidRPr="001E1260" w:rsidRDefault="001E1260" w:rsidP="00420B1E">
            <w:pPr>
              <w:pStyle w:val="ListParagraph"/>
              <w:keepNext/>
              <w:keepLines/>
              <w:numPr>
                <w:ilvl w:val="0"/>
                <w:numId w:val="5"/>
              </w:numPr>
              <w:rPr>
                <w:b w:val="0"/>
                <w:sz w:val="20"/>
                <w:szCs w:val="20"/>
              </w:rPr>
            </w:pPr>
            <w:r w:rsidRPr="001E1260">
              <w:rPr>
                <w:b w:val="0"/>
                <w:sz w:val="20"/>
                <w:szCs w:val="20"/>
              </w:rPr>
              <w:t>Gives access to medical and nursing staff</w:t>
            </w:r>
          </w:p>
        </w:tc>
        <w:tc>
          <w:tcPr>
            <w:tcW w:w="5215" w:type="dxa"/>
          </w:tcPr>
          <w:p w14:paraId="50961A3A" w14:textId="375BC84E" w:rsidR="001E1260" w:rsidRPr="00B353F2" w:rsidRDefault="001E1260"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1E1260">
              <w:rPr>
                <w:sz w:val="20"/>
                <w:szCs w:val="20"/>
              </w:rPr>
              <w:t xml:space="preserve"> 12 weeks: Availability of at least one registered </w:t>
            </w:r>
            <w:r>
              <w:rPr>
                <w:sz w:val="20"/>
                <w:szCs w:val="20"/>
              </w:rPr>
              <w:t>and</w:t>
            </w:r>
            <w:r w:rsidRPr="001E1260">
              <w:rPr>
                <w:sz w:val="20"/>
                <w:szCs w:val="20"/>
              </w:rPr>
              <w:t xml:space="preserve"> TOP trained </w:t>
            </w:r>
            <w:r w:rsidRPr="00B353F2">
              <w:rPr>
                <w:sz w:val="20"/>
                <w:szCs w:val="20"/>
              </w:rPr>
              <w:t>medical practitioner, nurse, or midwife (as per Chapter 2.1)</w:t>
            </w:r>
            <w:r w:rsidR="00881488">
              <w:rPr>
                <w:sz w:val="20"/>
                <w:szCs w:val="20"/>
              </w:rPr>
              <w:t>.</w:t>
            </w:r>
          </w:p>
          <w:p w14:paraId="1489DFCA" w14:textId="4BBF98CD" w:rsidR="001E1260" w:rsidRPr="001E1260" w:rsidRDefault="001E1260" w:rsidP="00420B1E">
            <w:pPr>
              <w:pStyle w:val="ListParagraph"/>
              <w:numPr>
                <w:ilvl w:val="0"/>
                <w:numId w:val="4"/>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B353F2">
              <w:rPr>
                <w:sz w:val="20"/>
                <w:szCs w:val="20"/>
              </w:rPr>
              <w:t>&gt;12 weeks: Availability of at least one registered and TOP trained medical practitioner (as per Chapter 2.1)</w:t>
            </w:r>
            <w:r w:rsidR="00881488">
              <w:rPr>
                <w:sz w:val="20"/>
                <w:szCs w:val="20"/>
              </w:rPr>
              <w:t xml:space="preserve">. </w:t>
            </w:r>
          </w:p>
        </w:tc>
      </w:tr>
      <w:tr w:rsidR="001E1260" w:rsidRPr="001E1260" w14:paraId="11F91115" w14:textId="77777777" w:rsidTr="005D3EAC">
        <w:tc>
          <w:tcPr>
            <w:cnfStyle w:val="001000000000" w:firstRow="0" w:lastRow="0" w:firstColumn="1" w:lastColumn="0" w:oddVBand="0" w:evenVBand="0" w:oddHBand="0" w:evenHBand="0" w:firstRowFirstColumn="0" w:firstRowLastColumn="0" w:lastRowFirstColumn="0" w:lastRowLastColumn="0"/>
            <w:tcW w:w="4135" w:type="dxa"/>
          </w:tcPr>
          <w:p w14:paraId="258CC7E2" w14:textId="1CB98D11" w:rsidR="001E1260" w:rsidRPr="001E1260" w:rsidRDefault="001E1260" w:rsidP="00420B1E">
            <w:pPr>
              <w:pStyle w:val="ListParagraph"/>
              <w:keepNext/>
              <w:keepLines/>
              <w:numPr>
                <w:ilvl w:val="0"/>
                <w:numId w:val="5"/>
              </w:numPr>
              <w:rPr>
                <w:b w:val="0"/>
                <w:sz w:val="20"/>
                <w:szCs w:val="20"/>
              </w:rPr>
            </w:pPr>
            <w:r w:rsidRPr="001E1260">
              <w:rPr>
                <w:b w:val="0"/>
                <w:sz w:val="20"/>
                <w:szCs w:val="20"/>
              </w:rPr>
              <w:t>Gives access to an operating theatre</w:t>
            </w:r>
          </w:p>
        </w:tc>
        <w:tc>
          <w:tcPr>
            <w:tcW w:w="5215" w:type="dxa"/>
          </w:tcPr>
          <w:p w14:paraId="24DCFF02" w14:textId="04D94441" w:rsidR="001E1260" w:rsidRPr="001E1260" w:rsidRDefault="00302CD8" w:rsidP="001E1260">
            <w:pPr>
              <w:keepNext/>
              <w:keepLin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w:t>
            </w:r>
            <w:r w:rsidR="001E1260" w:rsidRPr="001E1260">
              <w:rPr>
                <w:sz w:val="20"/>
                <w:szCs w:val="20"/>
              </w:rPr>
              <w:t>list of facilities</w:t>
            </w:r>
            <w:r w:rsidR="00266148">
              <w:rPr>
                <w:sz w:val="20"/>
                <w:szCs w:val="20"/>
              </w:rPr>
              <w:t xml:space="preserve"> with an operating theatre that can be referred to</w:t>
            </w:r>
            <w:r w:rsidR="00881488">
              <w:rPr>
                <w:sz w:val="20"/>
                <w:szCs w:val="20"/>
              </w:rPr>
              <w:t xml:space="preserve">. </w:t>
            </w:r>
          </w:p>
        </w:tc>
      </w:tr>
      <w:tr w:rsidR="001E1260" w:rsidRPr="001E1260" w14:paraId="32F97B6F" w14:textId="77777777" w:rsidTr="005D3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BE611D6" w14:textId="404DDE9C" w:rsidR="001E1260" w:rsidRPr="001E1260" w:rsidRDefault="001E1260" w:rsidP="00420B1E">
            <w:pPr>
              <w:pStyle w:val="ListParagraph"/>
              <w:keepNext/>
              <w:keepLines/>
              <w:numPr>
                <w:ilvl w:val="0"/>
                <w:numId w:val="5"/>
              </w:numPr>
              <w:rPr>
                <w:b w:val="0"/>
                <w:sz w:val="20"/>
                <w:szCs w:val="20"/>
              </w:rPr>
            </w:pPr>
            <w:r w:rsidRPr="001E1260">
              <w:rPr>
                <w:b w:val="0"/>
                <w:sz w:val="20"/>
                <w:szCs w:val="20"/>
              </w:rPr>
              <w:t>Has appropriate surgical equipment</w:t>
            </w:r>
          </w:p>
        </w:tc>
        <w:tc>
          <w:tcPr>
            <w:tcW w:w="5215" w:type="dxa"/>
          </w:tcPr>
          <w:p w14:paraId="04471FB4" w14:textId="66DCAF2E" w:rsidR="001E1260" w:rsidRPr="001E1260" w:rsidRDefault="00D74680" w:rsidP="001E1260">
            <w:pPr>
              <w:keepNext/>
              <w:keepLines/>
              <w:cnfStyle w:val="000000100000" w:firstRow="0" w:lastRow="0" w:firstColumn="0" w:lastColumn="0" w:oddVBand="0" w:evenVBand="0" w:oddHBand="1" w:evenHBand="0" w:firstRowFirstColumn="0" w:firstRowLastColumn="0" w:lastRowFirstColumn="0" w:lastRowLastColumn="0"/>
              <w:rPr>
                <w:sz w:val="20"/>
                <w:szCs w:val="20"/>
              </w:rPr>
            </w:pPr>
            <w:r>
              <w:rPr>
                <w:color w:val="000000" w:themeColor="text1"/>
                <w:sz w:val="20"/>
                <w:szCs w:val="20"/>
              </w:rPr>
              <w:t>Manual</w:t>
            </w:r>
            <w:r w:rsidR="001E1260" w:rsidRPr="001E1260">
              <w:rPr>
                <w:color w:val="000000" w:themeColor="text1"/>
                <w:sz w:val="20"/>
                <w:szCs w:val="20"/>
              </w:rPr>
              <w:t xml:space="preserve"> and/or electric vacuum aspirator device</w:t>
            </w:r>
            <w:r w:rsidR="003C7F97">
              <w:rPr>
                <w:color w:val="000000" w:themeColor="text1"/>
                <w:sz w:val="20"/>
                <w:szCs w:val="20"/>
              </w:rPr>
              <w:t>, cannulae, dilator, tenaculum, speculum</w:t>
            </w:r>
            <w:r>
              <w:rPr>
                <w:color w:val="000000" w:themeColor="text1"/>
                <w:sz w:val="20"/>
                <w:szCs w:val="20"/>
              </w:rPr>
              <w:t xml:space="preserve"> &amp; ring</w:t>
            </w:r>
            <w:r w:rsidR="003C7F97">
              <w:rPr>
                <w:color w:val="000000" w:themeColor="text1"/>
                <w:sz w:val="20"/>
                <w:szCs w:val="20"/>
              </w:rPr>
              <w:t xml:space="preserve"> or sponge forceps </w:t>
            </w:r>
            <w:r w:rsidR="00303C97">
              <w:rPr>
                <w:color w:val="000000" w:themeColor="text1"/>
                <w:sz w:val="20"/>
                <w:szCs w:val="20"/>
              </w:rPr>
              <w:t>available</w:t>
            </w:r>
            <w:r w:rsidR="00881488">
              <w:rPr>
                <w:color w:val="000000" w:themeColor="text1"/>
                <w:sz w:val="20"/>
                <w:szCs w:val="20"/>
              </w:rPr>
              <w:t xml:space="preserve">. </w:t>
            </w:r>
          </w:p>
        </w:tc>
      </w:tr>
      <w:tr w:rsidR="001E1260" w:rsidRPr="001E1260" w14:paraId="2BF25B99" w14:textId="77777777" w:rsidTr="005D3EAC">
        <w:tc>
          <w:tcPr>
            <w:cnfStyle w:val="001000000000" w:firstRow="0" w:lastRow="0" w:firstColumn="1" w:lastColumn="0" w:oddVBand="0" w:evenVBand="0" w:oddHBand="0" w:evenHBand="0" w:firstRowFirstColumn="0" w:firstRowLastColumn="0" w:lastRowFirstColumn="0" w:lastRowLastColumn="0"/>
            <w:tcW w:w="4135" w:type="dxa"/>
          </w:tcPr>
          <w:p w14:paraId="5B192679" w14:textId="775C1FB8" w:rsidR="001E1260" w:rsidRPr="001E1260" w:rsidRDefault="001E1260" w:rsidP="00420B1E">
            <w:pPr>
              <w:pStyle w:val="ListParagraph"/>
              <w:keepNext/>
              <w:keepLines/>
              <w:numPr>
                <w:ilvl w:val="0"/>
                <w:numId w:val="5"/>
              </w:numPr>
              <w:rPr>
                <w:b w:val="0"/>
                <w:sz w:val="20"/>
                <w:szCs w:val="20"/>
              </w:rPr>
            </w:pPr>
            <w:r w:rsidRPr="001E1260">
              <w:rPr>
                <w:b w:val="0"/>
                <w:sz w:val="20"/>
                <w:szCs w:val="20"/>
              </w:rPr>
              <w:t>Supplies drugs for intravenous and intramuscular injection</w:t>
            </w:r>
          </w:p>
        </w:tc>
        <w:tc>
          <w:tcPr>
            <w:tcW w:w="5215" w:type="dxa"/>
          </w:tcPr>
          <w:p w14:paraId="6EE5E1C5" w14:textId="22E320EA" w:rsidR="001E1260" w:rsidRPr="001E1260" w:rsidRDefault="001E1260" w:rsidP="001E1260">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1E1260">
              <w:rPr>
                <w:color w:val="000000" w:themeColor="text1"/>
                <w:sz w:val="20"/>
                <w:szCs w:val="20"/>
              </w:rPr>
              <w:t>Drugs to manage TOP complications (i.e. haemorrhage)</w:t>
            </w:r>
            <w:r w:rsidR="003C7F97">
              <w:rPr>
                <w:color w:val="000000" w:themeColor="text1"/>
                <w:sz w:val="20"/>
                <w:szCs w:val="20"/>
              </w:rPr>
              <w:t xml:space="preserve"> and pain management</w:t>
            </w:r>
            <w:r w:rsidR="00881488">
              <w:rPr>
                <w:color w:val="000000" w:themeColor="text1"/>
                <w:sz w:val="20"/>
                <w:szCs w:val="20"/>
              </w:rPr>
              <w:t xml:space="preserve">. </w:t>
            </w:r>
          </w:p>
        </w:tc>
      </w:tr>
      <w:tr w:rsidR="001E1260" w:rsidRPr="001E1260" w14:paraId="22BADA60" w14:textId="77777777" w:rsidTr="005D3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173F734" w14:textId="247A1E02" w:rsidR="001E1260" w:rsidRPr="001E1260" w:rsidRDefault="001E1260" w:rsidP="00420B1E">
            <w:pPr>
              <w:pStyle w:val="ListParagraph"/>
              <w:keepNext/>
              <w:keepLines/>
              <w:numPr>
                <w:ilvl w:val="0"/>
                <w:numId w:val="5"/>
              </w:numPr>
              <w:rPr>
                <w:b w:val="0"/>
                <w:sz w:val="20"/>
                <w:szCs w:val="20"/>
              </w:rPr>
            </w:pPr>
            <w:r w:rsidRPr="001E1260">
              <w:rPr>
                <w:b w:val="0"/>
                <w:sz w:val="20"/>
                <w:szCs w:val="20"/>
              </w:rPr>
              <w:t>Has emergency resuscitation equipment and access to an emergency referral centre or facility</w:t>
            </w:r>
          </w:p>
        </w:tc>
        <w:tc>
          <w:tcPr>
            <w:tcW w:w="5215" w:type="dxa"/>
          </w:tcPr>
          <w:p w14:paraId="08DF8D37" w14:textId="08573A43" w:rsidR="001E1260" w:rsidRPr="001E1260" w:rsidRDefault="001E1260" w:rsidP="001E1260">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1E1260">
              <w:rPr>
                <w:sz w:val="20"/>
                <w:szCs w:val="20"/>
              </w:rPr>
              <w:t>As per Ideal Clinic Framework and Manual</w:t>
            </w:r>
            <w:r w:rsidR="00881488">
              <w:rPr>
                <w:sz w:val="20"/>
                <w:szCs w:val="20"/>
              </w:rPr>
              <w:t xml:space="preserve">. </w:t>
            </w:r>
          </w:p>
        </w:tc>
      </w:tr>
      <w:tr w:rsidR="001E1260" w:rsidRPr="001E1260" w14:paraId="0DC48A04" w14:textId="77777777" w:rsidTr="005D3EAC">
        <w:tc>
          <w:tcPr>
            <w:cnfStyle w:val="001000000000" w:firstRow="0" w:lastRow="0" w:firstColumn="1" w:lastColumn="0" w:oddVBand="0" w:evenVBand="0" w:oddHBand="0" w:evenHBand="0" w:firstRowFirstColumn="0" w:firstRowLastColumn="0" w:lastRowFirstColumn="0" w:lastRowLastColumn="0"/>
            <w:tcW w:w="4135" w:type="dxa"/>
          </w:tcPr>
          <w:p w14:paraId="43639912" w14:textId="7AED400D" w:rsidR="001E1260" w:rsidRPr="001E1260" w:rsidRDefault="001E1260" w:rsidP="00420B1E">
            <w:pPr>
              <w:pStyle w:val="ListParagraph"/>
              <w:keepNext/>
              <w:keepLines/>
              <w:numPr>
                <w:ilvl w:val="0"/>
                <w:numId w:val="5"/>
              </w:numPr>
              <w:rPr>
                <w:b w:val="0"/>
                <w:sz w:val="20"/>
                <w:szCs w:val="20"/>
              </w:rPr>
            </w:pPr>
            <w:r w:rsidRPr="001E1260">
              <w:rPr>
                <w:b w:val="0"/>
                <w:sz w:val="20"/>
                <w:szCs w:val="20"/>
              </w:rPr>
              <w:t>Gives access to appropriate transport should the need arise for emergency transfer</w:t>
            </w:r>
          </w:p>
        </w:tc>
        <w:tc>
          <w:tcPr>
            <w:tcW w:w="5215" w:type="dxa"/>
          </w:tcPr>
          <w:p w14:paraId="5EF4311D" w14:textId="1562D0DE" w:rsidR="001E1260" w:rsidRPr="001E1260" w:rsidRDefault="001E1260" w:rsidP="001E1260">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1E1260">
              <w:rPr>
                <w:sz w:val="20"/>
                <w:szCs w:val="20"/>
              </w:rPr>
              <w:t>As per Ideal Clinic Framework and Manua</w:t>
            </w:r>
            <w:r w:rsidR="005D3EAC">
              <w:rPr>
                <w:sz w:val="20"/>
                <w:szCs w:val="20"/>
              </w:rPr>
              <w:t>l</w:t>
            </w:r>
            <w:r w:rsidR="00881488">
              <w:rPr>
                <w:sz w:val="20"/>
                <w:szCs w:val="20"/>
              </w:rPr>
              <w:t>.</w:t>
            </w:r>
          </w:p>
        </w:tc>
      </w:tr>
      <w:tr w:rsidR="001E1260" w:rsidRPr="001E1260" w14:paraId="051E250B" w14:textId="77777777" w:rsidTr="005D3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5BBB45E" w14:textId="2C5E074E" w:rsidR="001E1260" w:rsidRPr="001E1260" w:rsidRDefault="001E1260" w:rsidP="00420B1E">
            <w:pPr>
              <w:pStyle w:val="ListParagraph"/>
              <w:keepNext/>
              <w:keepLines/>
              <w:numPr>
                <w:ilvl w:val="0"/>
                <w:numId w:val="5"/>
              </w:numPr>
              <w:rPr>
                <w:b w:val="0"/>
                <w:sz w:val="20"/>
                <w:szCs w:val="20"/>
              </w:rPr>
            </w:pPr>
            <w:r w:rsidRPr="001E1260">
              <w:rPr>
                <w:b w:val="0"/>
                <w:sz w:val="20"/>
                <w:szCs w:val="20"/>
              </w:rPr>
              <w:t>Has facilities and equipment for clinical observation and access to in-patient facilities</w:t>
            </w:r>
          </w:p>
        </w:tc>
        <w:tc>
          <w:tcPr>
            <w:tcW w:w="5215" w:type="dxa"/>
          </w:tcPr>
          <w:p w14:paraId="6D037182" w14:textId="0AF394CA" w:rsidR="001E1260" w:rsidRPr="001E1260" w:rsidRDefault="001E1260" w:rsidP="001E1260">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1E1260">
              <w:rPr>
                <w:color w:val="000000" w:themeColor="text1"/>
                <w:sz w:val="20"/>
                <w:szCs w:val="20"/>
              </w:rPr>
              <w:t>Recovery room for observation and blood pressure monitor, heart rate monitor, temperature monitor</w:t>
            </w:r>
            <w:r w:rsidR="00881488">
              <w:rPr>
                <w:color w:val="000000" w:themeColor="text1"/>
                <w:sz w:val="20"/>
                <w:szCs w:val="20"/>
              </w:rPr>
              <w:t>.</w:t>
            </w:r>
          </w:p>
        </w:tc>
      </w:tr>
      <w:tr w:rsidR="001E1260" w:rsidRPr="001E1260" w14:paraId="34C90985" w14:textId="77777777" w:rsidTr="005D3EAC">
        <w:tc>
          <w:tcPr>
            <w:cnfStyle w:val="001000000000" w:firstRow="0" w:lastRow="0" w:firstColumn="1" w:lastColumn="0" w:oddVBand="0" w:evenVBand="0" w:oddHBand="0" w:evenHBand="0" w:firstRowFirstColumn="0" w:firstRowLastColumn="0" w:lastRowFirstColumn="0" w:lastRowLastColumn="0"/>
            <w:tcW w:w="4135" w:type="dxa"/>
          </w:tcPr>
          <w:p w14:paraId="02A2393D" w14:textId="4D41A197" w:rsidR="001E1260" w:rsidRPr="001E1260" w:rsidRDefault="001E1260" w:rsidP="00420B1E">
            <w:pPr>
              <w:pStyle w:val="ListParagraph"/>
              <w:keepNext/>
              <w:keepLines/>
              <w:numPr>
                <w:ilvl w:val="0"/>
                <w:numId w:val="5"/>
              </w:numPr>
              <w:rPr>
                <w:b w:val="0"/>
                <w:sz w:val="20"/>
                <w:szCs w:val="20"/>
              </w:rPr>
            </w:pPr>
            <w:r w:rsidRPr="001E1260">
              <w:rPr>
                <w:b w:val="0"/>
                <w:sz w:val="20"/>
                <w:szCs w:val="20"/>
              </w:rPr>
              <w:t>Has appropriate infection control measures</w:t>
            </w:r>
          </w:p>
        </w:tc>
        <w:tc>
          <w:tcPr>
            <w:tcW w:w="5215" w:type="dxa"/>
          </w:tcPr>
          <w:p w14:paraId="247A7EEE" w14:textId="3D9FCF71" w:rsidR="001E1260" w:rsidRPr="001E1260" w:rsidRDefault="001E1260" w:rsidP="001E1260">
            <w:pPr>
              <w:keepNext/>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E1260">
              <w:rPr>
                <w:sz w:val="20"/>
                <w:szCs w:val="20"/>
              </w:rPr>
              <w:t>As per Ideal Clinic Framework and Manual</w:t>
            </w:r>
            <w:r w:rsidR="00881488">
              <w:rPr>
                <w:sz w:val="20"/>
                <w:szCs w:val="20"/>
              </w:rPr>
              <w:t>.</w:t>
            </w:r>
          </w:p>
        </w:tc>
      </w:tr>
      <w:tr w:rsidR="001E1260" w:rsidRPr="001E1260" w14:paraId="34017C51" w14:textId="77777777" w:rsidTr="005D3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84020A7" w14:textId="367E0D8B" w:rsidR="001E1260" w:rsidRPr="001E1260" w:rsidRDefault="001E1260" w:rsidP="00420B1E">
            <w:pPr>
              <w:pStyle w:val="ListParagraph"/>
              <w:keepNext/>
              <w:keepLines/>
              <w:numPr>
                <w:ilvl w:val="0"/>
                <w:numId w:val="5"/>
              </w:numPr>
              <w:rPr>
                <w:b w:val="0"/>
                <w:sz w:val="20"/>
                <w:szCs w:val="20"/>
              </w:rPr>
            </w:pPr>
            <w:r w:rsidRPr="001E1260">
              <w:rPr>
                <w:b w:val="0"/>
                <w:sz w:val="20"/>
                <w:szCs w:val="20"/>
              </w:rPr>
              <w:t>Gives access to safe waste disposal infrastructure</w:t>
            </w:r>
          </w:p>
        </w:tc>
        <w:tc>
          <w:tcPr>
            <w:tcW w:w="5215" w:type="dxa"/>
          </w:tcPr>
          <w:p w14:paraId="0F317FD6" w14:textId="36E5F586" w:rsidR="001E1260" w:rsidRPr="001E1260" w:rsidRDefault="001E1260" w:rsidP="001E1260">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1E1260">
              <w:rPr>
                <w:sz w:val="20"/>
                <w:szCs w:val="20"/>
              </w:rPr>
              <w:t>As per Ideal Clinic Framework and Manual</w:t>
            </w:r>
            <w:r w:rsidR="00881488">
              <w:rPr>
                <w:sz w:val="20"/>
                <w:szCs w:val="20"/>
              </w:rPr>
              <w:t>.</w:t>
            </w:r>
          </w:p>
        </w:tc>
      </w:tr>
      <w:tr w:rsidR="001E1260" w:rsidRPr="001E1260" w14:paraId="730CBEEA" w14:textId="77777777" w:rsidTr="005D3EAC">
        <w:tc>
          <w:tcPr>
            <w:cnfStyle w:val="001000000000" w:firstRow="0" w:lastRow="0" w:firstColumn="1" w:lastColumn="0" w:oddVBand="0" w:evenVBand="0" w:oddHBand="0" w:evenHBand="0" w:firstRowFirstColumn="0" w:firstRowLastColumn="0" w:lastRowFirstColumn="0" w:lastRowLastColumn="0"/>
            <w:tcW w:w="4135" w:type="dxa"/>
          </w:tcPr>
          <w:p w14:paraId="6F4E4519" w14:textId="0159BDC4" w:rsidR="001E1260" w:rsidRPr="001E1260" w:rsidRDefault="001E1260" w:rsidP="00420B1E">
            <w:pPr>
              <w:pStyle w:val="ListParagraph"/>
              <w:keepNext/>
              <w:keepLines/>
              <w:numPr>
                <w:ilvl w:val="0"/>
                <w:numId w:val="5"/>
              </w:numPr>
              <w:rPr>
                <w:b w:val="0"/>
                <w:sz w:val="20"/>
                <w:szCs w:val="20"/>
              </w:rPr>
            </w:pPr>
            <w:r w:rsidRPr="001E1260">
              <w:rPr>
                <w:b w:val="0"/>
                <w:sz w:val="20"/>
                <w:szCs w:val="20"/>
              </w:rPr>
              <w:t>Has telephonic means of communication</w:t>
            </w:r>
          </w:p>
        </w:tc>
        <w:tc>
          <w:tcPr>
            <w:tcW w:w="5215" w:type="dxa"/>
          </w:tcPr>
          <w:p w14:paraId="28BDD049" w14:textId="2F08D67E" w:rsidR="001E1260" w:rsidRPr="001E1260" w:rsidRDefault="001E1260" w:rsidP="001E1260">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1E1260">
              <w:rPr>
                <w:sz w:val="20"/>
                <w:szCs w:val="20"/>
              </w:rPr>
              <w:t>As per Ideal Clinic Framework and Manual</w:t>
            </w:r>
            <w:r w:rsidR="00881488">
              <w:rPr>
                <w:sz w:val="20"/>
                <w:szCs w:val="20"/>
              </w:rPr>
              <w:t>.</w:t>
            </w:r>
          </w:p>
        </w:tc>
      </w:tr>
      <w:tr w:rsidR="001E1260" w:rsidRPr="001E1260" w14:paraId="531D71DC" w14:textId="77777777" w:rsidTr="005D3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D66D041" w14:textId="41EDE0BF" w:rsidR="001E1260" w:rsidRPr="001E1260" w:rsidRDefault="001E1260" w:rsidP="00420B1E">
            <w:pPr>
              <w:pStyle w:val="ListParagraph"/>
              <w:keepNext/>
              <w:keepLines/>
              <w:numPr>
                <w:ilvl w:val="0"/>
                <w:numId w:val="5"/>
              </w:numPr>
              <w:rPr>
                <w:b w:val="0"/>
                <w:sz w:val="20"/>
                <w:szCs w:val="20"/>
              </w:rPr>
            </w:pPr>
            <w:r w:rsidRPr="001E1260">
              <w:rPr>
                <w:b w:val="0"/>
                <w:sz w:val="20"/>
                <w:szCs w:val="20"/>
              </w:rPr>
              <w:t>Has been approved by the member of the Executive Council by notice in the Gazette</w:t>
            </w:r>
          </w:p>
        </w:tc>
        <w:tc>
          <w:tcPr>
            <w:tcW w:w="5215" w:type="dxa"/>
          </w:tcPr>
          <w:p w14:paraId="2C5021E9" w14:textId="01197E30" w:rsidR="001E1260" w:rsidRPr="001E1260" w:rsidRDefault="001E1260" w:rsidP="001E1260">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1E1260">
              <w:rPr>
                <w:sz w:val="20"/>
                <w:szCs w:val="20"/>
              </w:rPr>
              <w:t>Approval letter and/or certificate</w:t>
            </w:r>
            <w:r w:rsidR="00881488">
              <w:rPr>
                <w:sz w:val="20"/>
                <w:szCs w:val="20"/>
              </w:rPr>
              <w:t>.</w:t>
            </w:r>
          </w:p>
        </w:tc>
      </w:tr>
    </w:tbl>
    <w:p w14:paraId="67B573E6" w14:textId="77777777" w:rsidR="001E1260" w:rsidRDefault="001E1260" w:rsidP="001E1260">
      <w:pPr>
        <w:keepNext/>
        <w:keepLines/>
      </w:pPr>
    </w:p>
    <w:p w14:paraId="49DB1B90" w14:textId="058DECE8" w:rsidR="00723B5B" w:rsidRDefault="00723B5B" w:rsidP="00723B5B">
      <w:r w:rsidRPr="008078C4">
        <w:t xml:space="preserve">Any facility that has a </w:t>
      </w:r>
      <w:r w:rsidR="00B20FED">
        <w:rPr>
          <w:b/>
        </w:rPr>
        <w:t>24-</w:t>
      </w:r>
      <w:r w:rsidRPr="008078C4">
        <w:rPr>
          <w:b/>
        </w:rPr>
        <w:t>hour maternity service and c</w:t>
      </w:r>
      <w:r w:rsidR="00285E06">
        <w:rPr>
          <w:b/>
        </w:rPr>
        <w:t>omplies with the above (a) to (j</w:t>
      </w:r>
      <w:r w:rsidRPr="008078C4">
        <w:rPr>
          <w:b/>
        </w:rPr>
        <w:t>) requirements</w:t>
      </w:r>
      <w:r w:rsidRPr="008078C4">
        <w:t xml:space="preserve"> may terminate pregnancies up to and including 12 weeks without having to obtain the approval of the Member of the Executive Council. </w:t>
      </w:r>
    </w:p>
    <w:p w14:paraId="1121DFB1" w14:textId="5B8F3997" w:rsidR="00AC0112" w:rsidRDefault="00AC0112" w:rsidP="00723B5B"/>
    <w:p w14:paraId="20A14577" w14:textId="039EC5D2" w:rsidR="00AC0112" w:rsidRPr="008078C4" w:rsidRDefault="00AC0112" w:rsidP="00723B5B">
      <w:r>
        <w:t>See Annex 1 for detailed minimum operational facility requirements</w:t>
      </w:r>
      <w:r w:rsidR="003A57E2">
        <w:t xml:space="preserve"> </w:t>
      </w:r>
      <w:r w:rsidR="00835F61">
        <w:t>for each type of TOP proc</w:t>
      </w:r>
      <w:r w:rsidR="00142216">
        <w:t xml:space="preserve">edure (medical, surgical manual or </w:t>
      </w:r>
      <w:r w:rsidR="00835F61">
        <w:t>electric vacuum aspiration, surgical dilatation &amp; evacuation</w:t>
      </w:r>
      <w:r>
        <w:t xml:space="preserve">). </w:t>
      </w:r>
    </w:p>
    <w:p w14:paraId="3199E004" w14:textId="77777777" w:rsidR="00723B5B" w:rsidRDefault="00723B5B" w:rsidP="00723B5B">
      <w:bookmarkStart w:id="45" w:name="_Toc525688585"/>
    </w:p>
    <w:p w14:paraId="75BD2E2A" w14:textId="1029E098" w:rsidR="00723B5B" w:rsidRPr="00507D47" w:rsidRDefault="00723B5B" w:rsidP="00723B5B">
      <w:pPr>
        <w:pStyle w:val="Heading2"/>
      </w:pPr>
      <w:bookmarkStart w:id="46" w:name="_Toc8387198"/>
      <w:r w:rsidRPr="00507D47">
        <w:lastRenderedPageBreak/>
        <w:t>Obstruction to Access</w:t>
      </w:r>
      <w:bookmarkEnd w:id="45"/>
      <w:bookmarkEnd w:id="46"/>
      <w:r w:rsidRPr="00507D47">
        <w:t xml:space="preserve"> </w:t>
      </w:r>
    </w:p>
    <w:p w14:paraId="186C0ADF" w14:textId="77777777" w:rsidR="00723B5B" w:rsidRDefault="00723B5B" w:rsidP="00723B5B">
      <w:pPr>
        <w:rPr>
          <w:b/>
        </w:rPr>
      </w:pPr>
    </w:p>
    <w:p w14:paraId="5653CE66" w14:textId="4A0AA5D1" w:rsidR="00723B5B" w:rsidRDefault="00723B5B" w:rsidP="00723B5B">
      <w:r>
        <w:rPr>
          <w:noProof/>
          <w:lang w:val="en-ZA" w:eastAsia="en-ZA"/>
        </w:rPr>
        <mc:AlternateContent>
          <mc:Choice Requires="wps">
            <w:drawing>
              <wp:inline distT="0" distB="0" distL="0" distR="0" wp14:anchorId="1D955313" wp14:editId="3E64582D">
                <wp:extent cx="1828800" cy="1828800"/>
                <wp:effectExtent l="0" t="0" r="6350" b="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48E61D5A" w14:textId="2A978852" w:rsidR="003351E3" w:rsidRPr="006447F8" w:rsidRDefault="003351E3" w:rsidP="00881488">
                            <w:pPr>
                              <w:jc w:val="center"/>
                              <w:rPr>
                                <w:b/>
                              </w:rPr>
                            </w:pPr>
                            <w:r w:rsidRPr="00723B5B">
                              <w:t xml:space="preserve">Obstruction to access refers to </w:t>
                            </w:r>
                            <w:r w:rsidRPr="00723B5B">
                              <w:rPr>
                                <w:b/>
                                <w:i/>
                              </w:rPr>
                              <w:t>any person or act which prevents a</w:t>
                            </w:r>
                            <w:r>
                              <w:rPr>
                                <w:b/>
                                <w:i/>
                              </w:rPr>
                              <w:t>n</w:t>
                            </w:r>
                            <w:r w:rsidRPr="00723B5B">
                              <w:rPr>
                                <w:b/>
                                <w:i/>
                              </w:rPr>
                              <w:t xml:space="preserve"> </w:t>
                            </w:r>
                            <w:r>
                              <w:rPr>
                                <w:b/>
                                <w:i/>
                              </w:rPr>
                              <w:t>individual</w:t>
                            </w:r>
                            <w:r w:rsidRPr="00723B5B">
                              <w:rPr>
                                <w:b/>
                                <w:i/>
                              </w:rPr>
                              <w:t xml:space="preserve"> from accessing any part of a quality and lawful </w:t>
                            </w:r>
                            <w:r>
                              <w:rPr>
                                <w:b/>
                                <w:i/>
                              </w:rPr>
                              <w:t>TOP</w:t>
                            </w:r>
                            <w:r w:rsidRPr="00723B5B">
                              <w:rPr>
                                <w:b/>
                                <w:i/>
                              </w:rPr>
                              <w:t xml:space="preserve"> service, in a timely manner</w:t>
                            </w:r>
                            <w:r w:rsidRPr="00723B5B">
                              <w:t>.</w:t>
                            </w:r>
                            <w:r w:rsidRPr="00AD4630">
                              <w:t xml:space="preserve"> This includes any person</w:t>
                            </w:r>
                            <w:r>
                              <w:t xml:space="preserve"> in or around a health facility</w:t>
                            </w:r>
                            <w:r w:rsidRPr="00AD4630">
                              <w:t>, clinical or non-clinical</w:t>
                            </w:r>
                            <w:r>
                              <w:t>,</w:t>
                            </w:r>
                            <w:r w:rsidRPr="00AD4630">
                              <w:t xml:space="preserve"> ranging from </w:t>
                            </w:r>
                            <w:r>
                              <w:t xml:space="preserve">facility </w:t>
                            </w:r>
                            <w:r w:rsidRPr="00AD4630">
                              <w:t xml:space="preserve">support personnel </w:t>
                            </w:r>
                            <w:r>
                              <w:t xml:space="preserve">to </w:t>
                            </w:r>
                            <w:r w:rsidRPr="008078C4">
                              <w:t>illegal providers</w:t>
                            </w:r>
                            <w:r w:rsidRPr="00AD4630">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D955313" id="Text Box 1"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" fillcolor="#e2efd9 [665]" stroked="f" strokeweight=".5pt">
                <v:textbox style="mso-fit-shape-to-text:t">
                  <w:txbxContent>
                    <w:p w14:paraId="48E61D5A" w14:textId="2A978852" w:rsidR="003351E3" w:rsidRPr="006447F8" w:rsidRDefault="003351E3" w:rsidP="00881488">
                      <w:pPr>
                        <w:jc w:val="center"/>
                        <w:rPr>
                          <w:b/>
                        </w:rPr>
                      </w:pPr>
                      <w:r w:rsidRPr="00723B5B">
                        <w:t xml:space="preserve">Obstruction to access refers to </w:t>
                      </w:r>
                      <w:r w:rsidRPr="00723B5B">
                        <w:rPr>
                          <w:b/>
                          <w:i/>
                        </w:rPr>
                        <w:t>any person or act which prevents a</w:t>
                      </w:r>
                      <w:r>
                        <w:rPr>
                          <w:b/>
                          <w:i/>
                        </w:rPr>
                        <w:t>n</w:t>
                      </w:r>
                      <w:r w:rsidRPr="00723B5B">
                        <w:rPr>
                          <w:b/>
                          <w:i/>
                        </w:rPr>
                        <w:t xml:space="preserve"> </w:t>
                      </w:r>
                      <w:r>
                        <w:rPr>
                          <w:b/>
                          <w:i/>
                        </w:rPr>
                        <w:t>individual</w:t>
                      </w:r>
                      <w:r w:rsidRPr="00723B5B">
                        <w:rPr>
                          <w:b/>
                          <w:i/>
                        </w:rPr>
                        <w:t xml:space="preserve"> from accessing any part of a quality and lawful </w:t>
                      </w:r>
                      <w:r>
                        <w:rPr>
                          <w:b/>
                          <w:i/>
                        </w:rPr>
                        <w:t>TOP</w:t>
                      </w:r>
                      <w:r w:rsidRPr="00723B5B">
                        <w:rPr>
                          <w:b/>
                          <w:i/>
                        </w:rPr>
                        <w:t xml:space="preserve"> service, in a timely manner</w:t>
                      </w:r>
                      <w:r w:rsidRPr="00723B5B">
                        <w:t>.</w:t>
                      </w:r>
                      <w:r w:rsidRPr="00AD4630">
                        <w:t xml:space="preserve"> This includes any person</w:t>
                      </w:r>
                      <w:r>
                        <w:t xml:space="preserve"> in or around a health facility</w:t>
                      </w:r>
                      <w:r w:rsidRPr="00AD4630">
                        <w:t>, clinical or non-clinical</w:t>
                      </w:r>
                      <w:r>
                        <w:t>,</w:t>
                      </w:r>
                      <w:r w:rsidRPr="00AD4630">
                        <w:t xml:space="preserve"> ranging from </w:t>
                      </w:r>
                      <w:r>
                        <w:t xml:space="preserve">facility </w:t>
                      </w:r>
                      <w:r w:rsidRPr="00AD4630">
                        <w:t xml:space="preserve">support personnel </w:t>
                      </w:r>
                      <w:r>
                        <w:t xml:space="preserve">to </w:t>
                      </w:r>
                      <w:r w:rsidRPr="008078C4">
                        <w:t>illegal providers</w:t>
                      </w:r>
                      <w:r w:rsidRPr="00AD4630">
                        <w:t>.</w:t>
                      </w:r>
                    </w:p>
                  </w:txbxContent>
                </v:textbox>
                <w10:anchorlock/>
              </v:shape>
            </w:pict>
          </mc:Fallback>
        </mc:AlternateContent>
      </w:r>
    </w:p>
    <w:p w14:paraId="7E3E8DDB" w14:textId="77777777" w:rsidR="00723B5B" w:rsidRDefault="00723B5B" w:rsidP="00723B5B"/>
    <w:p w14:paraId="75A0ECB4" w14:textId="0AC5A4EF" w:rsidR="00723B5B" w:rsidRPr="00AD4630" w:rsidRDefault="00723B5B" w:rsidP="00723B5B">
      <w:r w:rsidRPr="00AD4630">
        <w:t>In line with the C</w:t>
      </w:r>
      <w:r>
        <w:t>TOP</w:t>
      </w:r>
      <w:r w:rsidRPr="00AD4630">
        <w:t xml:space="preserve"> Act</w:t>
      </w:r>
      <w:r w:rsidR="00DA06B0">
        <w:t xml:space="preserve"> </w:t>
      </w:r>
      <w:r w:rsidR="00DA06B0" w:rsidRPr="00DA06B0">
        <w:rPr>
          <w:i/>
        </w:rPr>
        <w:t>(</w:t>
      </w:r>
      <w:r w:rsidR="00FA2D12">
        <w:rPr>
          <w:i/>
        </w:rPr>
        <w:t>s</w:t>
      </w:r>
      <w:r w:rsidR="00DA06B0" w:rsidRPr="00DA06B0">
        <w:rPr>
          <w:i/>
        </w:rPr>
        <w:t>ection 10, Offences and penalties)</w:t>
      </w:r>
      <w:r w:rsidRPr="00AD4630">
        <w:t>, obstruction to access refers to all of the following:</w:t>
      </w:r>
    </w:p>
    <w:p w14:paraId="2231FCA1" w14:textId="6EB9A621" w:rsidR="00723B5B" w:rsidRPr="00BD0273" w:rsidRDefault="00723B5B" w:rsidP="00420B1E">
      <w:pPr>
        <w:pStyle w:val="ListParagraph"/>
        <w:numPr>
          <w:ilvl w:val="0"/>
          <w:numId w:val="6"/>
        </w:numPr>
        <w:rPr>
          <w:lang w:val="en-ZA"/>
        </w:rPr>
      </w:pPr>
      <w:r w:rsidRPr="00BD0273">
        <w:rPr>
          <w:lang w:val="en-ZA"/>
        </w:rPr>
        <w:t xml:space="preserve">Any provider who is not a registered medical practitioner </w:t>
      </w:r>
      <w:r w:rsidR="00BD0273">
        <w:rPr>
          <w:lang w:val="en-ZA"/>
        </w:rPr>
        <w:t>/</w:t>
      </w:r>
      <w:r w:rsidRPr="00BD0273">
        <w:rPr>
          <w:lang w:val="en-ZA"/>
        </w:rPr>
        <w:t xml:space="preserve"> registered midwife </w:t>
      </w:r>
      <w:r w:rsidR="00BD0273">
        <w:rPr>
          <w:lang w:val="en-ZA"/>
        </w:rPr>
        <w:t>/</w:t>
      </w:r>
      <w:r w:rsidRPr="00BD0273">
        <w:rPr>
          <w:lang w:val="en-ZA"/>
        </w:rPr>
        <w:t xml:space="preserve"> registered nurse </w:t>
      </w:r>
      <w:r w:rsidR="00DA06B0">
        <w:rPr>
          <w:lang w:val="en-ZA"/>
        </w:rPr>
        <w:t>and has</w:t>
      </w:r>
      <w:r w:rsidRPr="00BD0273">
        <w:rPr>
          <w:lang w:val="en-ZA"/>
        </w:rPr>
        <w:t xml:space="preserve"> completed the prescribed training course</w:t>
      </w:r>
      <w:r w:rsidR="00DA06B0">
        <w:rPr>
          <w:lang w:val="en-ZA"/>
        </w:rPr>
        <w:t xml:space="preserve"> (as per Chapter 5)</w:t>
      </w:r>
    </w:p>
    <w:p w14:paraId="11475F33" w14:textId="70087B62" w:rsidR="00723B5B" w:rsidRPr="00BD0273" w:rsidRDefault="00723B5B" w:rsidP="00420B1E">
      <w:pPr>
        <w:pStyle w:val="ListParagraph"/>
        <w:numPr>
          <w:ilvl w:val="0"/>
          <w:numId w:val="6"/>
        </w:numPr>
        <w:rPr>
          <w:lang w:val="en-ZA"/>
        </w:rPr>
      </w:pPr>
      <w:r w:rsidRPr="00BD0273">
        <w:rPr>
          <w:lang w:val="en-ZA"/>
        </w:rPr>
        <w:t xml:space="preserve">Any person or act preventing </w:t>
      </w:r>
      <w:r w:rsidR="00BD0273">
        <w:rPr>
          <w:lang w:val="en-ZA"/>
        </w:rPr>
        <w:t>a</w:t>
      </w:r>
      <w:r w:rsidRPr="00BD0273">
        <w:rPr>
          <w:lang w:val="en-ZA"/>
        </w:rPr>
        <w:t xml:space="preserve"> lawful </w:t>
      </w:r>
      <w:r w:rsidR="00B3131A">
        <w:rPr>
          <w:lang w:val="en-ZA"/>
        </w:rPr>
        <w:t>termination of pregnancy</w:t>
      </w:r>
      <w:r w:rsidR="00A72278">
        <w:rPr>
          <w:lang w:val="en-ZA"/>
        </w:rPr>
        <w:t xml:space="preserve"> </w:t>
      </w:r>
      <w:r w:rsidRPr="00BD0273">
        <w:rPr>
          <w:lang w:val="en-ZA"/>
        </w:rPr>
        <w:t>or obstruct</w:t>
      </w:r>
      <w:r w:rsidR="00BD0273">
        <w:rPr>
          <w:lang w:val="en-ZA"/>
        </w:rPr>
        <w:t>ing</w:t>
      </w:r>
      <w:r w:rsidRPr="00BD0273">
        <w:rPr>
          <w:lang w:val="en-ZA"/>
        </w:rPr>
        <w:t xml:space="preserve"> access to a facility for the </w:t>
      </w:r>
      <w:r w:rsidR="00B3131A">
        <w:rPr>
          <w:lang w:val="en-ZA"/>
        </w:rPr>
        <w:t xml:space="preserve">lawful </w:t>
      </w:r>
      <w:r w:rsidRPr="00BD0273">
        <w:rPr>
          <w:lang w:val="en-ZA"/>
        </w:rPr>
        <w:t>termination of a pregnancy</w:t>
      </w:r>
      <w:r w:rsidR="00B43251">
        <w:rPr>
          <w:lang w:val="en-ZA"/>
        </w:rPr>
        <w:t xml:space="preserve"> (see </w:t>
      </w:r>
      <w:r w:rsidR="00B43251" w:rsidRPr="00B43251">
        <w:rPr>
          <w:i/>
          <w:lang w:val="en-ZA"/>
        </w:rPr>
        <w:t xml:space="preserve">Refusal to </w:t>
      </w:r>
      <w:r w:rsidR="004F061F">
        <w:rPr>
          <w:i/>
          <w:lang w:val="en-ZA"/>
        </w:rPr>
        <w:t>care</w:t>
      </w:r>
      <w:r w:rsidR="00B43251" w:rsidRPr="00B43251">
        <w:rPr>
          <w:i/>
          <w:lang w:val="en-ZA"/>
        </w:rPr>
        <w:t xml:space="preserve"> </w:t>
      </w:r>
      <w:r w:rsidR="00B43251">
        <w:rPr>
          <w:lang w:val="en-ZA"/>
        </w:rPr>
        <w:t>below)</w:t>
      </w:r>
    </w:p>
    <w:p w14:paraId="4578C77E" w14:textId="6DC973DC" w:rsidR="00723B5B" w:rsidRPr="00723B5B" w:rsidRDefault="00723B5B" w:rsidP="00420B1E">
      <w:pPr>
        <w:pStyle w:val="ListParagraph"/>
        <w:numPr>
          <w:ilvl w:val="0"/>
          <w:numId w:val="6"/>
        </w:numPr>
        <w:rPr>
          <w:iCs/>
        </w:rPr>
      </w:pPr>
      <w:r w:rsidRPr="00BD0273">
        <w:rPr>
          <w:lang w:val="en-ZA"/>
        </w:rPr>
        <w:t>When the</w:t>
      </w:r>
      <w:r w:rsidRPr="00723B5B">
        <w:rPr>
          <w:iCs/>
          <w:lang w:val="en-US"/>
        </w:rPr>
        <w:t xml:space="preserve"> TOP takes place at a facility not approved to provide TOP services (as per Chapter 2.2)</w:t>
      </w:r>
    </w:p>
    <w:p w14:paraId="03E9F8E9" w14:textId="20DC5A96" w:rsidR="00723B5B" w:rsidRDefault="00723B5B" w:rsidP="00723B5B">
      <w:pPr>
        <w:rPr>
          <w:iCs/>
        </w:rPr>
      </w:pPr>
    </w:p>
    <w:p w14:paraId="482CDF69" w14:textId="4D16A0CF" w:rsidR="00F975B7" w:rsidRPr="00075DAA" w:rsidRDefault="00DA0308" w:rsidP="00723B5B">
      <w:r>
        <w:t xml:space="preserve">As per the CTOP Act </w:t>
      </w:r>
      <w:r w:rsidR="00FA2D12">
        <w:rPr>
          <w:i/>
        </w:rPr>
        <w:t>(s</w:t>
      </w:r>
      <w:r w:rsidRPr="00DA0308">
        <w:rPr>
          <w:i/>
        </w:rPr>
        <w:t>ection 10, Offences and penalties)</w:t>
      </w:r>
      <w:r>
        <w:t xml:space="preserve">, any person who obstructs access to TOP, as outlined above, shall be found guilty of an offence and liable on conviction to a fine or imprisonment for a period not exceeding 10 years. </w:t>
      </w:r>
    </w:p>
    <w:p w14:paraId="623A0E91" w14:textId="77777777" w:rsidR="00F975B7" w:rsidRDefault="00F975B7" w:rsidP="00723B5B">
      <w:pPr>
        <w:rPr>
          <w:iCs/>
        </w:rPr>
      </w:pPr>
    </w:p>
    <w:p w14:paraId="6D16B292" w14:textId="5AB137DA" w:rsidR="008534DC" w:rsidRPr="00BD0273" w:rsidRDefault="00723B5B" w:rsidP="00723B5B">
      <w:pPr>
        <w:rPr>
          <w:b/>
        </w:rPr>
      </w:pPr>
      <w:bookmarkStart w:id="47" w:name="_Toc525688586"/>
      <w:r w:rsidRPr="00BD0273">
        <w:rPr>
          <w:b/>
        </w:rPr>
        <w:t xml:space="preserve">Refusal to </w:t>
      </w:r>
      <w:bookmarkEnd w:id="47"/>
      <w:r w:rsidR="004F061F">
        <w:rPr>
          <w:b/>
        </w:rPr>
        <w:t>care</w:t>
      </w:r>
    </w:p>
    <w:p w14:paraId="1F9A1E40" w14:textId="77777777" w:rsidR="00B43251" w:rsidRDefault="00B3131A" w:rsidP="00723B5B">
      <w:r>
        <w:rPr>
          <w:noProof/>
          <w:lang w:val="en-ZA" w:eastAsia="en-ZA"/>
        </w:rPr>
        <mc:AlternateContent>
          <mc:Choice Requires="wps">
            <w:drawing>
              <wp:inline distT="0" distB="0" distL="0" distR="0" wp14:anchorId="7E77A18B" wp14:editId="2444354F">
                <wp:extent cx="1828800" cy="1828800"/>
                <wp:effectExtent l="0" t="0" r="6350" b="5080"/>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25639E28" w14:textId="0AA91055" w:rsidR="003351E3" w:rsidRPr="00B43251" w:rsidRDefault="003351E3" w:rsidP="00881488">
                            <w:pPr>
                              <w:jc w:val="center"/>
                              <w:rPr>
                                <w:szCs w:val="20"/>
                              </w:rPr>
                            </w:pPr>
                            <w:r w:rsidRPr="00B43251">
                              <w:rPr>
                                <w:szCs w:val="20"/>
                              </w:rPr>
                              <w:t>R</w:t>
                            </w:r>
                            <w:r>
                              <w:rPr>
                                <w:szCs w:val="20"/>
                              </w:rPr>
                              <w:t xml:space="preserve">efusal to care </w:t>
                            </w:r>
                            <w:r w:rsidRPr="00B43251">
                              <w:rPr>
                                <w:szCs w:val="20"/>
                              </w:rPr>
                              <w:t xml:space="preserve">includes </w:t>
                            </w:r>
                            <w:r w:rsidRPr="00B43251">
                              <w:rPr>
                                <w:b/>
                                <w:iCs/>
                                <w:szCs w:val="20"/>
                                <w:lang w:val="en-US"/>
                              </w:rPr>
                              <w:t xml:space="preserve">any person or act </w:t>
                            </w:r>
                            <w:r w:rsidRPr="00B43251">
                              <w:rPr>
                                <w:b/>
                                <w:szCs w:val="20"/>
                                <w:lang w:val="en-ZA"/>
                              </w:rPr>
                              <w:t>preventing a lawful termination of pregnancy or obstructing access to a facility for the lawful termination of a pregnancy</w:t>
                            </w:r>
                            <w:r w:rsidRPr="00B43251">
                              <w:rPr>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E77A18B" id="Text Box 3"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" fillcolor="#e2efd9 [665]" stroked="f" strokeweight=".5pt">
                <v:textbox style="mso-fit-shape-to-text:t">
                  <w:txbxContent>
                    <w:p w14:paraId="25639E28" w14:textId="0AA91055" w:rsidR="003351E3" w:rsidRPr="00B43251" w:rsidRDefault="003351E3" w:rsidP="00881488">
                      <w:pPr>
                        <w:jc w:val="center"/>
                        <w:rPr>
                          <w:szCs w:val="20"/>
                        </w:rPr>
                      </w:pPr>
                      <w:r w:rsidRPr="00B43251">
                        <w:rPr>
                          <w:szCs w:val="20"/>
                        </w:rPr>
                        <w:t>R</w:t>
                      </w:r>
                      <w:r>
                        <w:rPr>
                          <w:szCs w:val="20"/>
                        </w:rPr>
                        <w:t xml:space="preserve">efusal to care </w:t>
                      </w:r>
                      <w:r w:rsidRPr="00B43251">
                        <w:rPr>
                          <w:szCs w:val="20"/>
                        </w:rPr>
                        <w:t xml:space="preserve">includes </w:t>
                      </w:r>
                      <w:r w:rsidRPr="00B43251">
                        <w:rPr>
                          <w:b/>
                          <w:iCs/>
                          <w:szCs w:val="20"/>
                          <w:lang w:val="en-US"/>
                        </w:rPr>
                        <w:t xml:space="preserve">any person or act </w:t>
                      </w:r>
                      <w:r w:rsidRPr="00B43251">
                        <w:rPr>
                          <w:b/>
                          <w:szCs w:val="20"/>
                          <w:lang w:val="en-ZA"/>
                        </w:rPr>
                        <w:t>preventing a lawful termination of pregnancy or obstructing access to a facility for the lawful termination of a pregnancy</w:t>
                      </w:r>
                      <w:r w:rsidRPr="00B43251">
                        <w:rPr>
                          <w:szCs w:val="20"/>
                        </w:rPr>
                        <w:t xml:space="preserve">. </w:t>
                      </w:r>
                    </w:p>
                  </w:txbxContent>
                </v:textbox>
                <w10:anchorlock/>
              </v:shape>
            </w:pict>
          </mc:Fallback>
        </mc:AlternateContent>
      </w:r>
    </w:p>
    <w:p w14:paraId="3C98B368" w14:textId="77777777" w:rsidR="00B43251" w:rsidRDefault="00B43251" w:rsidP="00723B5B"/>
    <w:p w14:paraId="4B59C14B" w14:textId="5DA41596" w:rsidR="00DA06B0" w:rsidRDefault="00DA06B0" w:rsidP="00723B5B">
      <w:r>
        <w:t>This refers to</w:t>
      </w:r>
      <w:r w:rsidR="002B0F9A">
        <w:t xml:space="preserve"> </w:t>
      </w:r>
      <w:r w:rsidR="007E04D7">
        <w:t>individual</w:t>
      </w:r>
      <w:r w:rsidR="00723B5B">
        <w:t xml:space="preserve">s </w:t>
      </w:r>
      <w:r>
        <w:t xml:space="preserve">who prevent a lawful termination of pregnancy or obstruct access to a facility for a lawful termination of pregnancy </w:t>
      </w:r>
      <w:r w:rsidR="00723B5B" w:rsidRPr="009E2FDA">
        <w:t xml:space="preserve">based on </w:t>
      </w:r>
      <w:r w:rsidR="00723B5B">
        <w:t>personal beliefs,</w:t>
      </w:r>
      <w:r w:rsidR="00723B5B" w:rsidRPr="009E2FDA">
        <w:t xml:space="preserve"> </w:t>
      </w:r>
      <w:r w:rsidR="00723B5B">
        <w:t xml:space="preserve">usually religious or spiritual in nature. </w:t>
      </w:r>
    </w:p>
    <w:p w14:paraId="346D1404" w14:textId="309C6996" w:rsidR="00DA06B0" w:rsidRDefault="00DA06B0" w:rsidP="00723B5B"/>
    <w:p w14:paraId="0889C439" w14:textId="50983112" w:rsidR="00AE38DC" w:rsidRDefault="00723B5B" w:rsidP="00723B5B">
      <w:r>
        <w:t>According to section 15 (1) of The Constitution of the Republic of South Africa, 1996, “</w:t>
      </w:r>
      <w:r w:rsidRPr="00B3131A">
        <w:rPr>
          <w:i/>
        </w:rPr>
        <w:t>everyone has the right to freedom of conscience, religion, thought, belief</w:t>
      </w:r>
      <w:r w:rsidR="00B3131A" w:rsidRPr="00B3131A">
        <w:rPr>
          <w:i/>
        </w:rPr>
        <w:t>,</w:t>
      </w:r>
      <w:r w:rsidRPr="00B3131A">
        <w:rPr>
          <w:i/>
        </w:rPr>
        <w:t xml:space="preserve"> and opinion</w:t>
      </w:r>
      <w:r w:rsidR="00B43251">
        <w:t>”</w:t>
      </w:r>
      <w:r>
        <w:t xml:space="preserve">.  Access to TOP under the CTOP Act is, similarly, regarded </w:t>
      </w:r>
      <w:r w:rsidR="00B3131A">
        <w:t xml:space="preserve">as </w:t>
      </w:r>
      <w:r>
        <w:t xml:space="preserve">a constitutional right. Although section 15 of the Constitution implicitly accommodates </w:t>
      </w:r>
      <w:r w:rsidR="00DA06B0">
        <w:t>provider refusal to provide</w:t>
      </w:r>
      <w:r>
        <w:t xml:space="preserve"> </w:t>
      </w:r>
      <w:r w:rsidR="00B3131A">
        <w:t>TOP</w:t>
      </w:r>
      <w:r>
        <w:t xml:space="preserve"> services, </w:t>
      </w:r>
      <w:r w:rsidR="00DA06B0">
        <w:t>this</w:t>
      </w:r>
      <w:r w:rsidRPr="009E2FDA">
        <w:t xml:space="preserve"> creates harm and </w:t>
      </w:r>
      <w:r>
        <w:t xml:space="preserve">additional </w:t>
      </w:r>
      <w:r w:rsidRPr="009E2FDA">
        <w:t xml:space="preserve">barriers for patients </w:t>
      </w:r>
      <w:r>
        <w:t xml:space="preserve">who are entitled to </w:t>
      </w:r>
      <w:r w:rsidRPr="009E2FDA">
        <w:t>receiv</w:t>
      </w:r>
      <w:r w:rsidR="00B3131A">
        <w:t>e</w:t>
      </w:r>
      <w:r w:rsidRPr="009E2FDA">
        <w:t xml:space="preserve"> </w:t>
      </w:r>
      <w:r>
        <w:t xml:space="preserve">comprehensive </w:t>
      </w:r>
      <w:r w:rsidR="00B3131A">
        <w:t>SRH</w:t>
      </w:r>
      <w:r w:rsidR="00B43251">
        <w:t>&amp;</w:t>
      </w:r>
      <w:r w:rsidR="00EA6A6D">
        <w:t>R</w:t>
      </w:r>
      <w:r w:rsidRPr="009E2FDA">
        <w:t xml:space="preserve"> care.</w:t>
      </w:r>
      <w:r>
        <w:t xml:space="preserve"> </w:t>
      </w:r>
    </w:p>
    <w:p w14:paraId="1999E568" w14:textId="3EBE8C5A" w:rsidR="00B3131A" w:rsidRDefault="00B3131A" w:rsidP="00723B5B"/>
    <w:p w14:paraId="5AC22B7E" w14:textId="01155C58" w:rsidR="00723B5B" w:rsidRDefault="00F40129" w:rsidP="00723B5B">
      <w:r>
        <w:rPr>
          <w:noProof/>
          <w:lang w:val="en-ZA" w:eastAsia="en-ZA"/>
        </w:rPr>
        <mc:AlternateContent>
          <mc:Choice Requires="wps">
            <w:drawing>
              <wp:anchor distT="0" distB="0" distL="114300" distR="114300" simplePos="0" relativeHeight="251672576" behindDoc="0" locked="0" layoutInCell="1" allowOverlap="1" wp14:anchorId="0C5CE7A6" wp14:editId="040F5DC1">
                <wp:simplePos x="0" y="0"/>
                <wp:positionH relativeFrom="column">
                  <wp:posOffset>3693795</wp:posOffset>
                </wp:positionH>
                <wp:positionV relativeFrom="paragraph">
                  <wp:posOffset>20016</wp:posOffset>
                </wp:positionV>
                <wp:extent cx="2194560" cy="1828800"/>
                <wp:effectExtent l="88900" t="76200" r="104140" b="90805"/>
                <wp:wrapSquare wrapText="bothSides"/>
                <wp:docPr id="4" name="Text Box 4"/>
                <wp:cNvGraphicFramePr/>
                <a:graphic xmlns:a="http://schemas.openxmlformats.org/drawingml/2006/main">
                  <a:graphicData uri="http://schemas.microsoft.com/office/word/2010/wordprocessingShape">
                    <wps:wsp>
                      <wps:cNvSpPr txBox="1"/>
                      <wps:spPr>
                        <a:xfrm>
                          <a:off x="0" y="0"/>
                          <a:ext cx="2194560" cy="1828800"/>
                        </a:xfrm>
                        <a:prstGeom prst="rect">
                          <a:avLst/>
                        </a:prstGeom>
                        <a:noFill/>
                        <a:ln w="6350">
                          <a:solidFill>
                            <a:srgbClr val="009051"/>
                          </a:solidFill>
                        </a:ln>
                        <a:effectLst>
                          <a:outerShdw blurRad="63500" sx="102000" sy="102000" algn="ctr" rotWithShape="0">
                            <a:prstClr val="black">
                              <a:alpha val="40000"/>
                            </a:prstClr>
                          </a:outerShdw>
                        </a:effectLst>
                      </wps:spPr>
                      <wps:txbx>
                        <w:txbxContent>
                          <w:p w14:paraId="121F5000" w14:textId="77777777" w:rsidR="003351E3" w:rsidRPr="00B3131A" w:rsidRDefault="003351E3" w:rsidP="00B3131A">
                            <w:pPr>
                              <w:rPr>
                                <w:sz w:val="20"/>
                                <w:szCs w:val="20"/>
                              </w:rPr>
                            </w:pPr>
                            <w:r w:rsidRPr="00B3131A">
                              <w:rPr>
                                <w:sz w:val="20"/>
                                <w:szCs w:val="20"/>
                              </w:rPr>
                              <w:t xml:space="preserve">‘Fiduciary duty means that a clinician should never give higher priority to her or his own conscience than to the patient’s 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5CE7A6" id="Text Box 4" o:spid="_x0000_s1029" type="#_x0000_t202" style="position:absolute;margin-left:290.85pt;margin-top:1.6pt;width:172.8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" filled="f" strokecolor="#009051" strokeweight=".5pt">
                <v:shadow on="t" type="perspective" color="black" opacity="26214f" offset="0,0" matrix="66847f,,,66847f"/>
                <v:textbox style="mso-fit-shape-to-text:t">
                  <w:txbxContent>
                    <w:p w14:paraId="121F5000" w14:textId="77777777" w:rsidR="003351E3" w:rsidRPr="00B3131A" w:rsidRDefault="003351E3" w:rsidP="00B3131A">
                      <w:pPr>
                        <w:rPr>
                          <w:sz w:val="20"/>
                          <w:szCs w:val="20"/>
                        </w:rPr>
                      </w:pPr>
                      <w:r w:rsidRPr="00B3131A">
                        <w:rPr>
                          <w:sz w:val="20"/>
                          <w:szCs w:val="20"/>
                        </w:rPr>
                        <w:t xml:space="preserve">‘Fiduciary duty means that a clinician should never give higher priority to her or his own conscience than to the patient’s needs.’ </w:t>
                      </w:r>
                    </w:p>
                  </w:txbxContent>
                </v:textbox>
                <w10:wrap type="square"/>
              </v:shape>
            </w:pict>
          </mc:Fallback>
        </mc:AlternateContent>
      </w:r>
      <w:r w:rsidR="00AE38DC">
        <w:rPr>
          <w:noProof/>
        </w:rPr>
        <w:t>A provider that</w:t>
      </w:r>
      <w:r w:rsidR="00AE38DC">
        <w:t xml:space="preserve"> </w:t>
      </w:r>
      <w:r w:rsidR="00DA06B0">
        <w:t>refuses to provide TOP services</w:t>
      </w:r>
      <w:r w:rsidR="00AE38DC">
        <w:t xml:space="preserve">, and thus exercises </w:t>
      </w:r>
      <w:r w:rsidR="00723B5B">
        <w:t>section 15 of the Constitution</w:t>
      </w:r>
      <w:r w:rsidR="00AE38DC">
        <w:t>,</w:t>
      </w:r>
      <w:r w:rsidR="00723B5B">
        <w:t xml:space="preserve"> should not be a detriment </w:t>
      </w:r>
      <w:r w:rsidR="00B3131A">
        <w:t>to</w:t>
      </w:r>
      <w:r w:rsidR="00723B5B">
        <w:t xml:space="preserve"> the </w:t>
      </w:r>
      <w:r w:rsidR="007E04D7">
        <w:t>individual</w:t>
      </w:r>
      <w:r w:rsidR="00723B5B">
        <w:t xml:space="preserve"> seeking a </w:t>
      </w:r>
      <w:r w:rsidR="00B3131A">
        <w:t>TOP</w:t>
      </w:r>
      <w:r w:rsidR="00723B5B">
        <w:t xml:space="preserve">. Given stewardship obligations within the public service, public servants </w:t>
      </w:r>
      <w:r w:rsidR="00B43251">
        <w:t xml:space="preserve">must </w:t>
      </w:r>
      <w:r w:rsidR="00723B5B">
        <w:t xml:space="preserve">acknowledge their fiduciary duties. </w:t>
      </w:r>
    </w:p>
    <w:p w14:paraId="4A9EF0E7" w14:textId="41F6B162" w:rsidR="0058507E" w:rsidRDefault="0058507E" w:rsidP="00723B5B">
      <w:pPr>
        <w:rPr>
          <w:rFonts w:eastAsia="Arial"/>
        </w:rPr>
      </w:pPr>
    </w:p>
    <w:p w14:paraId="073810FE" w14:textId="1CD0D211" w:rsidR="0058507E" w:rsidRDefault="00DE3043" w:rsidP="00723B5B">
      <w:pPr>
        <w:rPr>
          <w:rFonts w:eastAsia="Arial"/>
        </w:rPr>
      </w:pPr>
      <w:r>
        <w:rPr>
          <w:noProof/>
          <w:lang w:val="en-ZA" w:eastAsia="en-ZA"/>
        </w:rPr>
        <w:lastRenderedPageBreak/>
        <mc:AlternateContent>
          <mc:Choice Requires="wps">
            <w:drawing>
              <wp:anchor distT="0" distB="0" distL="114300" distR="114300" simplePos="0" relativeHeight="251674624" behindDoc="0" locked="0" layoutInCell="1" allowOverlap="1" wp14:anchorId="51175FFE" wp14:editId="08AC55B8">
                <wp:simplePos x="0" y="0"/>
                <wp:positionH relativeFrom="column">
                  <wp:posOffset>0</wp:posOffset>
                </wp:positionH>
                <wp:positionV relativeFrom="paragraph">
                  <wp:posOffset>0</wp:posOffset>
                </wp:positionV>
                <wp:extent cx="1828800" cy="1828800"/>
                <wp:effectExtent l="0" t="0" r="635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68DEAE97" w14:textId="7F3C4E9D" w:rsidR="003351E3" w:rsidRPr="00B43251" w:rsidRDefault="003351E3" w:rsidP="00881488">
                            <w:pPr>
                              <w:jc w:val="center"/>
                              <w:rPr>
                                <w:b/>
                                <w:szCs w:val="20"/>
                              </w:rPr>
                            </w:pPr>
                            <w:r>
                              <w:rPr>
                                <w:b/>
                                <w:szCs w:val="20"/>
                              </w:rPr>
                              <w:t>Only the direct TOP provider can refuse to care (no other health care or support staff member can refuse to care). As such, a</w:t>
                            </w:r>
                            <w:r w:rsidRPr="00B43251">
                              <w:rPr>
                                <w:b/>
                                <w:szCs w:val="20"/>
                              </w:rPr>
                              <w:t xml:space="preserve"> </w:t>
                            </w:r>
                            <w:r>
                              <w:rPr>
                                <w:b/>
                                <w:szCs w:val="20"/>
                              </w:rPr>
                              <w:t xml:space="preserve">direct TOP provider </w:t>
                            </w:r>
                            <w:r w:rsidRPr="00B43251">
                              <w:rPr>
                                <w:b/>
                                <w:szCs w:val="20"/>
                              </w:rPr>
                              <w:t xml:space="preserve">who refuses to </w:t>
                            </w:r>
                            <w:r>
                              <w:rPr>
                                <w:b/>
                                <w:szCs w:val="20"/>
                              </w:rPr>
                              <w:t>care</w:t>
                            </w:r>
                            <w:r w:rsidRPr="00B43251">
                              <w:rPr>
                                <w:b/>
                                <w:szCs w:val="20"/>
                              </w:rPr>
                              <w:t xml:space="preserve"> </w:t>
                            </w:r>
                            <w:r>
                              <w:rPr>
                                <w:b/>
                                <w:szCs w:val="20"/>
                              </w:rPr>
                              <w:t>based on personal beliefs must</w:t>
                            </w:r>
                            <w:r w:rsidRPr="00B43251">
                              <w:rPr>
                                <w:b/>
                                <w:szCs w:val="20"/>
                              </w:rPr>
                              <w:t xml:space="preserve"> refer the individual to a colleague or facility that is able to offer such services.</w:t>
                            </w:r>
                            <w:r w:rsidRPr="00B43251">
                              <w:rPr>
                                <w:szCs w:val="20"/>
                              </w:rPr>
                              <w:t xml:space="preserve"> </w:t>
                            </w:r>
                            <w:r w:rsidRPr="00B43251">
                              <w:rPr>
                                <w:b/>
                                <w:szCs w:val="20"/>
                              </w:rPr>
                              <w:t>The</w:t>
                            </w:r>
                            <w:r w:rsidRPr="00B43251">
                              <w:rPr>
                                <w:rFonts w:eastAsia="Arial"/>
                                <w:b/>
                                <w:szCs w:val="20"/>
                              </w:rPr>
                              <w:t xml:space="preserve"> individual’s right to information and access to health care services, including TOP, should always be provided for.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175FFE" id="Text Box 5" o:spid="_x0000_s1030"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" fillcolor="#e2efd9 [665]" stroked="f" strokeweight=".5pt">
                <v:textbox style="mso-fit-shape-to-text:t">
                  <w:txbxContent>
                    <w:p w14:paraId="68DEAE97" w14:textId="7F3C4E9D" w:rsidR="003351E3" w:rsidRPr="00B43251" w:rsidRDefault="003351E3" w:rsidP="00881488">
                      <w:pPr>
                        <w:jc w:val="center"/>
                        <w:rPr>
                          <w:b/>
                          <w:szCs w:val="20"/>
                        </w:rPr>
                      </w:pPr>
                      <w:r>
                        <w:rPr>
                          <w:b/>
                          <w:szCs w:val="20"/>
                        </w:rPr>
                        <w:t>Only the direct TOP provider can refuse to care (no other health care or support staff member can refuse to care). As such, a</w:t>
                      </w:r>
                      <w:r w:rsidRPr="00B43251">
                        <w:rPr>
                          <w:b/>
                          <w:szCs w:val="20"/>
                        </w:rPr>
                        <w:t xml:space="preserve"> </w:t>
                      </w:r>
                      <w:r>
                        <w:rPr>
                          <w:b/>
                          <w:szCs w:val="20"/>
                        </w:rPr>
                        <w:t xml:space="preserve">direct TOP provider </w:t>
                      </w:r>
                      <w:r w:rsidRPr="00B43251">
                        <w:rPr>
                          <w:b/>
                          <w:szCs w:val="20"/>
                        </w:rPr>
                        <w:t xml:space="preserve">who refuses to </w:t>
                      </w:r>
                      <w:r>
                        <w:rPr>
                          <w:b/>
                          <w:szCs w:val="20"/>
                        </w:rPr>
                        <w:t>care</w:t>
                      </w:r>
                      <w:r w:rsidRPr="00B43251">
                        <w:rPr>
                          <w:b/>
                          <w:szCs w:val="20"/>
                        </w:rPr>
                        <w:t xml:space="preserve"> </w:t>
                      </w:r>
                      <w:r>
                        <w:rPr>
                          <w:b/>
                          <w:szCs w:val="20"/>
                        </w:rPr>
                        <w:t>based on personal beliefs must</w:t>
                      </w:r>
                      <w:r w:rsidRPr="00B43251">
                        <w:rPr>
                          <w:b/>
                          <w:szCs w:val="20"/>
                        </w:rPr>
                        <w:t xml:space="preserve"> refer the individual to a colleague or facility that is able to offer such services.</w:t>
                      </w:r>
                      <w:r w:rsidRPr="00B43251">
                        <w:rPr>
                          <w:szCs w:val="20"/>
                        </w:rPr>
                        <w:t xml:space="preserve"> </w:t>
                      </w:r>
                      <w:r w:rsidRPr="00B43251">
                        <w:rPr>
                          <w:b/>
                          <w:szCs w:val="20"/>
                        </w:rPr>
                        <w:t>The</w:t>
                      </w:r>
                      <w:r w:rsidRPr="00B43251">
                        <w:rPr>
                          <w:rFonts w:eastAsia="Arial"/>
                          <w:b/>
                          <w:szCs w:val="20"/>
                        </w:rPr>
                        <w:t xml:space="preserve"> individual’s right to information and access to health care services, including TOP, should always be provided for.</w:t>
                      </w:r>
                    </w:p>
                  </w:txbxContent>
                </v:textbox>
                <w10:wrap type="square"/>
              </v:shape>
            </w:pict>
          </mc:Fallback>
        </mc:AlternateContent>
      </w:r>
    </w:p>
    <w:p w14:paraId="5C696D2A" w14:textId="08AAC714" w:rsidR="00723B5B" w:rsidRPr="00F319D2" w:rsidRDefault="00723B5B" w:rsidP="00723B5B">
      <w:pPr>
        <w:rPr>
          <w:rFonts w:eastAsia="Arial"/>
          <w:b/>
          <w:color w:val="C00000"/>
        </w:rPr>
      </w:pPr>
      <w:r w:rsidRPr="00F319D2">
        <w:rPr>
          <w:rFonts w:eastAsia="Arial"/>
          <w:b/>
          <w:color w:val="C00000"/>
        </w:rPr>
        <w:t xml:space="preserve">In the case of </w:t>
      </w:r>
      <w:r w:rsidR="00783ED8">
        <w:rPr>
          <w:rFonts w:eastAsia="Arial"/>
          <w:b/>
          <w:color w:val="C00000"/>
        </w:rPr>
        <w:t>a direct provider’s refusal to care</w:t>
      </w:r>
      <w:r w:rsidRPr="00F319D2">
        <w:rPr>
          <w:rFonts w:eastAsia="Arial"/>
          <w:b/>
          <w:color w:val="C00000"/>
        </w:rPr>
        <w:t xml:space="preserve">, the following </w:t>
      </w:r>
      <w:r w:rsidR="00B43251">
        <w:rPr>
          <w:rFonts w:eastAsia="Arial"/>
          <w:b/>
          <w:color w:val="C00000"/>
        </w:rPr>
        <w:t>standard protocol should</w:t>
      </w:r>
      <w:r w:rsidRPr="00F319D2">
        <w:rPr>
          <w:rFonts w:eastAsia="Arial"/>
          <w:b/>
          <w:color w:val="C00000"/>
        </w:rPr>
        <w:t xml:space="preserve"> </w:t>
      </w:r>
      <w:r w:rsidR="00B43251">
        <w:rPr>
          <w:rFonts w:eastAsia="Arial"/>
          <w:b/>
          <w:color w:val="C00000"/>
        </w:rPr>
        <w:t>be exercised:</w:t>
      </w:r>
    </w:p>
    <w:p w14:paraId="538DBF38" w14:textId="4D979CB1" w:rsidR="00723B5B" w:rsidRPr="00B43251" w:rsidRDefault="00723B5B" w:rsidP="00420B1E">
      <w:pPr>
        <w:pStyle w:val="ListParagraph"/>
        <w:numPr>
          <w:ilvl w:val="0"/>
          <w:numId w:val="7"/>
        </w:numPr>
        <w:rPr>
          <w:i/>
        </w:rPr>
      </w:pPr>
      <w:r w:rsidRPr="00B43251">
        <w:rPr>
          <w:i/>
        </w:rPr>
        <w:t xml:space="preserve">Section 36 of the Constitution imposes a duty to, at minimum, provide the </w:t>
      </w:r>
      <w:r w:rsidR="007E04D7" w:rsidRPr="00B43251">
        <w:rPr>
          <w:i/>
        </w:rPr>
        <w:t>individual</w:t>
      </w:r>
      <w:r w:rsidRPr="00B43251">
        <w:rPr>
          <w:i/>
        </w:rPr>
        <w:t xml:space="preserve"> </w:t>
      </w:r>
      <w:r w:rsidR="00B43251" w:rsidRPr="00B43251">
        <w:rPr>
          <w:i/>
        </w:rPr>
        <w:t>with information about where the individual</w:t>
      </w:r>
      <w:r w:rsidRPr="00B43251">
        <w:rPr>
          <w:i/>
        </w:rPr>
        <w:t xml:space="preserve"> can obtain a </w:t>
      </w:r>
      <w:r w:rsidR="00A47E94" w:rsidRPr="00B43251">
        <w:rPr>
          <w:i/>
        </w:rPr>
        <w:t>TOP</w:t>
      </w:r>
      <w:r w:rsidR="00845CF0">
        <w:rPr>
          <w:i/>
        </w:rPr>
        <w:t xml:space="preserve"> and refer the individual accordingly</w:t>
      </w:r>
    </w:p>
    <w:p w14:paraId="33EB9BA6" w14:textId="77777777" w:rsidR="00B43251" w:rsidRPr="00075607" w:rsidRDefault="00B43251" w:rsidP="00B43251">
      <w:pPr>
        <w:pStyle w:val="ListParagraph"/>
      </w:pPr>
    </w:p>
    <w:p w14:paraId="7FEDB4CF" w14:textId="54F63051" w:rsidR="00723B5B" w:rsidRPr="00B43251" w:rsidRDefault="00723B5B" w:rsidP="00420B1E">
      <w:pPr>
        <w:pStyle w:val="ListParagraph"/>
        <w:numPr>
          <w:ilvl w:val="0"/>
          <w:numId w:val="7"/>
        </w:numPr>
        <w:rPr>
          <w:rFonts w:eastAsia="Arial"/>
          <w:i/>
        </w:rPr>
      </w:pPr>
      <w:r w:rsidRPr="00B43251">
        <w:rPr>
          <w:rFonts w:eastAsia="Arial"/>
          <w:i/>
        </w:rPr>
        <w:t xml:space="preserve">A register of </w:t>
      </w:r>
      <w:r w:rsidR="00A47E94" w:rsidRPr="00B43251">
        <w:rPr>
          <w:rFonts w:eastAsia="Arial"/>
          <w:i/>
        </w:rPr>
        <w:t>TOP</w:t>
      </w:r>
      <w:r w:rsidRPr="00B43251">
        <w:rPr>
          <w:rFonts w:eastAsia="Arial"/>
          <w:i/>
        </w:rPr>
        <w:t xml:space="preserve"> services refused should be kept in each facility noting:</w:t>
      </w:r>
    </w:p>
    <w:p w14:paraId="5D3E77DC" w14:textId="013DB3F3" w:rsidR="00723B5B" w:rsidRPr="00C933AF" w:rsidRDefault="00723B5B" w:rsidP="00420B1E">
      <w:pPr>
        <w:pStyle w:val="ListParagraph"/>
        <w:numPr>
          <w:ilvl w:val="0"/>
          <w:numId w:val="8"/>
        </w:numPr>
      </w:pPr>
      <w:r w:rsidRPr="00C933AF">
        <w:t xml:space="preserve">The clinical details of the </w:t>
      </w:r>
      <w:r w:rsidR="007E04D7">
        <w:t>individual</w:t>
      </w:r>
    </w:p>
    <w:p w14:paraId="40892D21" w14:textId="49D2C464" w:rsidR="00723B5B" w:rsidRPr="00C933AF" w:rsidRDefault="00723B5B" w:rsidP="00420B1E">
      <w:pPr>
        <w:pStyle w:val="ListParagraph"/>
        <w:numPr>
          <w:ilvl w:val="0"/>
          <w:numId w:val="8"/>
        </w:numPr>
      </w:pPr>
      <w:r w:rsidRPr="00C933AF">
        <w:t>Referral process</w:t>
      </w:r>
    </w:p>
    <w:p w14:paraId="69952EA4" w14:textId="7E054628" w:rsidR="00723B5B" w:rsidRDefault="00723B5B" w:rsidP="00420B1E">
      <w:pPr>
        <w:pStyle w:val="ListParagraph"/>
        <w:numPr>
          <w:ilvl w:val="0"/>
          <w:numId w:val="8"/>
        </w:numPr>
      </w:pPr>
      <w:r w:rsidRPr="00C933AF">
        <w:t>The name of clinician who refused services</w:t>
      </w:r>
    </w:p>
    <w:p w14:paraId="2B616C5C" w14:textId="77777777" w:rsidR="00B43251" w:rsidRPr="00C933AF" w:rsidRDefault="00B43251" w:rsidP="00B43251">
      <w:pPr>
        <w:pStyle w:val="ListParagraph"/>
        <w:ind w:left="1080"/>
      </w:pPr>
    </w:p>
    <w:p w14:paraId="1B2B39C0" w14:textId="6532B94A" w:rsidR="00723B5B" w:rsidRPr="00B43251" w:rsidRDefault="00075607" w:rsidP="00420B1E">
      <w:pPr>
        <w:pStyle w:val="ListParagraph"/>
        <w:numPr>
          <w:ilvl w:val="0"/>
          <w:numId w:val="7"/>
        </w:numPr>
        <w:rPr>
          <w:i/>
        </w:rPr>
      </w:pPr>
      <w:r w:rsidRPr="00B43251">
        <w:rPr>
          <w:i/>
        </w:rPr>
        <w:t>A health care professional’s</w:t>
      </w:r>
      <w:r w:rsidR="00783ED8">
        <w:rPr>
          <w:i/>
        </w:rPr>
        <w:t xml:space="preserve"> refusal to care</w:t>
      </w:r>
      <w:r w:rsidR="00723B5B" w:rsidRPr="00B43251">
        <w:rPr>
          <w:i/>
        </w:rPr>
        <w:t xml:space="preserve"> cannot violate the right of the other health care professional</w:t>
      </w:r>
      <w:r w:rsidRPr="00B43251">
        <w:rPr>
          <w:i/>
        </w:rPr>
        <w:t>s</w:t>
      </w:r>
      <w:r w:rsidR="00723B5B" w:rsidRPr="00B43251">
        <w:rPr>
          <w:i/>
        </w:rPr>
        <w:t xml:space="preserve"> who are willing to provide TOP services:</w:t>
      </w:r>
    </w:p>
    <w:p w14:paraId="64532B00" w14:textId="09A92F21" w:rsidR="00723B5B" w:rsidRPr="0067050C" w:rsidRDefault="00723B5B" w:rsidP="00420B1E">
      <w:pPr>
        <w:pStyle w:val="ListParagraph"/>
        <w:numPr>
          <w:ilvl w:val="0"/>
          <w:numId w:val="9"/>
        </w:numPr>
      </w:pPr>
      <w:r>
        <w:t>Health care professionals who are not willing to provide TOP services must inform their Facility Manager in writing when applying for a position in the facility</w:t>
      </w:r>
    </w:p>
    <w:p w14:paraId="65A59E4D" w14:textId="29995948" w:rsidR="00723B5B" w:rsidRPr="00075607" w:rsidRDefault="00723B5B" w:rsidP="00420B1E">
      <w:pPr>
        <w:pStyle w:val="ListParagraph"/>
        <w:numPr>
          <w:ilvl w:val="0"/>
          <w:numId w:val="9"/>
        </w:numPr>
        <w:rPr>
          <w:color w:val="000000"/>
          <w:szCs w:val="17"/>
        </w:rPr>
      </w:pPr>
      <w:r>
        <w:t xml:space="preserve">Facility </w:t>
      </w:r>
      <w:r w:rsidRPr="00075607">
        <w:rPr>
          <w:szCs w:val="17"/>
        </w:rPr>
        <w:t xml:space="preserve">Managers need to confirm whether a staff member is fit to provide TOP </w:t>
      </w:r>
      <w:r w:rsidR="0058413D">
        <w:rPr>
          <w:szCs w:val="17"/>
        </w:rPr>
        <w:t>services when appointing staff</w:t>
      </w:r>
    </w:p>
    <w:p w14:paraId="2C7E7204" w14:textId="64749B9A" w:rsidR="003C6FD7" w:rsidRPr="003C6FD7" w:rsidRDefault="00723B5B" w:rsidP="00420B1E">
      <w:pPr>
        <w:pStyle w:val="ListParagraph"/>
        <w:numPr>
          <w:ilvl w:val="0"/>
          <w:numId w:val="9"/>
        </w:numPr>
        <w:rPr>
          <w:color w:val="000000"/>
          <w:szCs w:val="17"/>
        </w:rPr>
      </w:pPr>
      <w:r>
        <w:t>Each staff member who exercises refusal to treat must be handled individually. TOP service provision should never be handled i</w:t>
      </w:r>
      <w:r w:rsidR="0058413D">
        <w:t>n a group, or as a group action</w:t>
      </w:r>
    </w:p>
    <w:p w14:paraId="3A6B981D" w14:textId="690669CF" w:rsidR="00B43251" w:rsidRPr="00B43251" w:rsidRDefault="00723B5B" w:rsidP="00B43251">
      <w:pPr>
        <w:pStyle w:val="ListParagraph"/>
        <w:numPr>
          <w:ilvl w:val="0"/>
          <w:numId w:val="9"/>
        </w:numPr>
        <w:rPr>
          <w:color w:val="000000"/>
          <w:szCs w:val="17"/>
        </w:rPr>
      </w:pPr>
      <w:r w:rsidRPr="003C6FD7">
        <w:t>Refusal to treat only applies to individual trained health care professionals and not to groups, institutions, support personnel</w:t>
      </w:r>
      <w:r w:rsidR="003C6FD7">
        <w:t>,</w:t>
      </w:r>
      <w:r w:rsidR="0058413D">
        <w:t xml:space="preserve"> or complementary services</w:t>
      </w:r>
      <w:r w:rsidRPr="003C6FD7">
        <w:t xml:space="preserve"> </w:t>
      </w:r>
    </w:p>
    <w:p w14:paraId="37DA2146" w14:textId="77777777" w:rsidR="00B43251" w:rsidRPr="00B43251" w:rsidRDefault="00B43251" w:rsidP="00B43251">
      <w:pPr>
        <w:rPr>
          <w:color w:val="000000"/>
          <w:szCs w:val="17"/>
        </w:rPr>
      </w:pPr>
    </w:p>
    <w:p w14:paraId="778366C5" w14:textId="3227C2DE" w:rsidR="00B43251" w:rsidRPr="00B43251" w:rsidRDefault="00723B5B" w:rsidP="00B43251">
      <w:pPr>
        <w:pStyle w:val="ListParagraph"/>
        <w:numPr>
          <w:ilvl w:val="0"/>
          <w:numId w:val="7"/>
        </w:numPr>
        <w:rPr>
          <w:i/>
        </w:rPr>
      </w:pPr>
      <w:r w:rsidRPr="00B43251">
        <w:rPr>
          <w:i/>
        </w:rPr>
        <w:t>In non-emergency cases, health care professionals who refuse to p</w:t>
      </w:r>
      <w:r w:rsidR="00651D9A" w:rsidRPr="00B43251">
        <w:rPr>
          <w:i/>
        </w:rPr>
        <w:t>rovide a TOP service must still</w:t>
      </w:r>
      <w:r w:rsidRPr="00B43251">
        <w:rPr>
          <w:i/>
        </w:rPr>
        <w:t xml:space="preserve">: </w:t>
      </w:r>
    </w:p>
    <w:p w14:paraId="508F1BB9" w14:textId="5707F2E5" w:rsidR="00723B5B" w:rsidRPr="003C6FD7" w:rsidRDefault="00723B5B" w:rsidP="008D431E">
      <w:pPr>
        <w:pStyle w:val="ListParagraph"/>
        <w:numPr>
          <w:ilvl w:val="1"/>
          <w:numId w:val="28"/>
        </w:numPr>
        <w:rPr>
          <w:szCs w:val="17"/>
        </w:rPr>
      </w:pPr>
      <w:r w:rsidRPr="003C6FD7">
        <w:rPr>
          <w:szCs w:val="17"/>
        </w:rPr>
        <w:t xml:space="preserve">Explain their refusal to the </w:t>
      </w:r>
      <w:r w:rsidR="007E04D7">
        <w:rPr>
          <w:szCs w:val="17"/>
        </w:rPr>
        <w:t>individual</w:t>
      </w:r>
      <w:r w:rsidRPr="003C6FD7">
        <w:rPr>
          <w:szCs w:val="17"/>
        </w:rPr>
        <w:t xml:space="preserve"> in a manner that </w:t>
      </w:r>
      <w:r w:rsidR="003C6FD7">
        <w:rPr>
          <w:szCs w:val="17"/>
        </w:rPr>
        <w:t xml:space="preserve">is non-judgemental and </w:t>
      </w:r>
      <w:r w:rsidRPr="003C6FD7">
        <w:rPr>
          <w:szCs w:val="17"/>
        </w:rPr>
        <w:t>does not stigmatise</w:t>
      </w:r>
    </w:p>
    <w:p w14:paraId="1D276545" w14:textId="3B4053AD" w:rsidR="00723B5B" w:rsidRPr="003C6FD7" w:rsidRDefault="00723B5B" w:rsidP="008D431E">
      <w:pPr>
        <w:pStyle w:val="ListParagraph"/>
        <w:numPr>
          <w:ilvl w:val="1"/>
          <w:numId w:val="28"/>
        </w:numPr>
        <w:rPr>
          <w:szCs w:val="17"/>
        </w:rPr>
      </w:pPr>
      <w:r w:rsidRPr="003C6FD7">
        <w:rPr>
          <w:szCs w:val="17"/>
        </w:rPr>
        <w:t xml:space="preserve">Explain to the </w:t>
      </w:r>
      <w:r w:rsidR="007E04D7">
        <w:rPr>
          <w:szCs w:val="17"/>
        </w:rPr>
        <w:t>individual</w:t>
      </w:r>
      <w:r w:rsidRPr="003C6FD7">
        <w:rPr>
          <w:szCs w:val="17"/>
        </w:rPr>
        <w:t xml:space="preserve"> their right to request a safe TOP</w:t>
      </w:r>
    </w:p>
    <w:p w14:paraId="0B64D279" w14:textId="13E3798C" w:rsidR="00723B5B" w:rsidRPr="003C6FD7" w:rsidRDefault="00963802" w:rsidP="008D431E">
      <w:pPr>
        <w:pStyle w:val="ListParagraph"/>
        <w:numPr>
          <w:ilvl w:val="1"/>
          <w:numId w:val="28"/>
        </w:numPr>
        <w:rPr>
          <w:szCs w:val="17"/>
        </w:rPr>
      </w:pPr>
      <w:r>
        <w:rPr>
          <w:szCs w:val="17"/>
        </w:rPr>
        <w:t>Refer the</w:t>
      </w:r>
      <w:r w:rsidR="00723B5B" w:rsidRPr="003C6FD7">
        <w:rPr>
          <w:szCs w:val="17"/>
        </w:rPr>
        <w:t xml:space="preserve"> </w:t>
      </w:r>
      <w:r w:rsidR="007E04D7">
        <w:rPr>
          <w:szCs w:val="17"/>
        </w:rPr>
        <w:t>individual</w:t>
      </w:r>
      <w:r w:rsidR="00723B5B" w:rsidRPr="003C6FD7">
        <w:rPr>
          <w:szCs w:val="17"/>
        </w:rPr>
        <w:t xml:space="preserve"> to </w:t>
      </w:r>
      <w:r>
        <w:rPr>
          <w:szCs w:val="17"/>
        </w:rPr>
        <w:t>a facility/</w:t>
      </w:r>
      <w:r w:rsidR="00723B5B" w:rsidRPr="003C6FD7">
        <w:rPr>
          <w:szCs w:val="17"/>
        </w:rPr>
        <w:t>provider who will conduct the TOP</w:t>
      </w:r>
    </w:p>
    <w:p w14:paraId="35EB2D98" w14:textId="79AF5215" w:rsidR="00723B5B" w:rsidRPr="003C6FD7" w:rsidRDefault="00723B5B" w:rsidP="008D431E">
      <w:pPr>
        <w:pStyle w:val="ListParagraph"/>
        <w:numPr>
          <w:ilvl w:val="1"/>
          <w:numId w:val="28"/>
        </w:numPr>
        <w:rPr>
          <w:szCs w:val="17"/>
        </w:rPr>
      </w:pPr>
      <w:r w:rsidRPr="003C6FD7">
        <w:rPr>
          <w:szCs w:val="17"/>
        </w:rPr>
        <w:t>Update the facility register to note the refusal to treat</w:t>
      </w:r>
    </w:p>
    <w:p w14:paraId="7BEDA4D1" w14:textId="415DCD8C" w:rsidR="003C6FD7" w:rsidRDefault="003C6FD7" w:rsidP="00723B5B">
      <w:bookmarkStart w:id="48" w:name="_Toc515309340"/>
      <w:bookmarkStart w:id="49" w:name="_Toc525688587"/>
    </w:p>
    <w:p w14:paraId="5D76E0B6" w14:textId="46DB5072" w:rsidR="00DA06B0" w:rsidRPr="00DA06B0" w:rsidRDefault="00DA06B0" w:rsidP="00DA06B0">
      <w:pPr>
        <w:rPr>
          <w:i/>
        </w:rPr>
      </w:pPr>
      <w:r>
        <w:rPr>
          <w:i/>
        </w:rPr>
        <w:t xml:space="preserve">For other </w:t>
      </w:r>
      <w:r w:rsidR="00764BE6">
        <w:rPr>
          <w:i/>
        </w:rPr>
        <w:t>health care</w:t>
      </w:r>
      <w:r w:rsidRPr="00DA06B0">
        <w:rPr>
          <w:i/>
        </w:rPr>
        <w:t xml:space="preserve"> </w:t>
      </w:r>
      <w:r w:rsidR="00783ED8">
        <w:rPr>
          <w:i/>
        </w:rPr>
        <w:t>pro</w:t>
      </w:r>
      <w:r>
        <w:rPr>
          <w:i/>
        </w:rPr>
        <w:t>f</w:t>
      </w:r>
      <w:r w:rsidR="00783ED8">
        <w:rPr>
          <w:i/>
        </w:rPr>
        <w:t>essionals</w:t>
      </w:r>
      <w:r>
        <w:rPr>
          <w:i/>
        </w:rPr>
        <w:t>:</w:t>
      </w:r>
    </w:p>
    <w:p w14:paraId="0DB54E5F" w14:textId="2B14F8F9" w:rsidR="00C57062" w:rsidRDefault="00DA06B0" w:rsidP="00723B5B">
      <w:r>
        <w:rPr>
          <w:noProof/>
          <w:lang w:val="en-ZA" w:eastAsia="en-ZA"/>
        </w:rPr>
        <mc:AlternateContent>
          <mc:Choice Requires="wps">
            <w:drawing>
              <wp:anchor distT="0" distB="0" distL="114300" distR="114300" simplePos="0" relativeHeight="251680768" behindDoc="0" locked="0" layoutInCell="1" allowOverlap="1" wp14:anchorId="1FC71082" wp14:editId="08E4DF5B">
                <wp:simplePos x="0" y="0"/>
                <wp:positionH relativeFrom="column">
                  <wp:posOffset>0</wp:posOffset>
                </wp:positionH>
                <wp:positionV relativeFrom="paragraph">
                  <wp:posOffset>198755</wp:posOffset>
                </wp:positionV>
                <wp:extent cx="1828800" cy="1828800"/>
                <wp:effectExtent l="0" t="0" r="635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48DB3D79" w14:textId="016B3DE0" w:rsidR="003351E3" w:rsidRPr="00DA06B0" w:rsidRDefault="003351E3" w:rsidP="00407072">
                            <w:pPr>
                              <w:jc w:val="center"/>
                              <w:rPr>
                                <w:b/>
                              </w:rPr>
                            </w:pPr>
                            <w:r w:rsidRPr="00DA06B0">
                              <w:rPr>
                                <w:b/>
                              </w:rPr>
                              <w:t xml:space="preserve">Ancillary staff (e.g. reception, ward clerks, janitorial, catering, etc.) and other </w:t>
                            </w:r>
                            <w:r>
                              <w:rPr>
                                <w:b/>
                              </w:rPr>
                              <w:t xml:space="preserve">health care professionals </w:t>
                            </w:r>
                            <w:r w:rsidRPr="00DA06B0">
                              <w:rPr>
                                <w:b/>
                              </w:rPr>
                              <w:t xml:space="preserve">involved in the general care of a patient (e.g. pharmacist) </w:t>
                            </w:r>
                            <w:r w:rsidRPr="00783ED8">
                              <w:rPr>
                                <w:b/>
                                <w:u w:val="single"/>
                              </w:rPr>
                              <w:t>may not</w:t>
                            </w:r>
                            <w:r w:rsidRPr="00DA06B0">
                              <w:rPr>
                                <w:b/>
                              </w:rPr>
                              <w:t xml:space="preserve"> refuse to provide general or standard care to an individual under any circumstances.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C71082" id="Text Box 10" o:spid="_x0000_s1031" type="#_x0000_t202" style="position:absolute;margin-left:0;margin-top:15.6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" fillcolor="#e2efd9 [665]" stroked="f" strokeweight=".5pt">
                <v:textbox style="mso-fit-shape-to-text:t">
                  <w:txbxContent>
                    <w:p w14:paraId="48DB3D79" w14:textId="016B3DE0" w:rsidR="003351E3" w:rsidRPr="00DA06B0" w:rsidRDefault="003351E3" w:rsidP="00407072">
                      <w:pPr>
                        <w:jc w:val="center"/>
                        <w:rPr>
                          <w:b/>
                        </w:rPr>
                      </w:pPr>
                      <w:r w:rsidRPr="00DA06B0">
                        <w:rPr>
                          <w:b/>
                        </w:rPr>
                        <w:t xml:space="preserve">Ancillary staff (e.g. reception, ward clerks, janitorial, catering, etc.) and other </w:t>
                      </w:r>
                      <w:r>
                        <w:rPr>
                          <w:b/>
                        </w:rPr>
                        <w:t xml:space="preserve">health care professionals </w:t>
                      </w:r>
                      <w:r w:rsidRPr="00DA06B0">
                        <w:rPr>
                          <w:b/>
                        </w:rPr>
                        <w:t xml:space="preserve">involved in the general care of a patient (e.g. pharmacist) </w:t>
                      </w:r>
                      <w:r w:rsidRPr="00783ED8">
                        <w:rPr>
                          <w:b/>
                          <w:u w:val="single"/>
                        </w:rPr>
                        <w:t>may not</w:t>
                      </w:r>
                      <w:r w:rsidRPr="00DA06B0">
                        <w:rPr>
                          <w:b/>
                        </w:rPr>
                        <w:t xml:space="preserve"> refuse to provide general or standard care to an individual under any circumstances.</w:t>
                      </w:r>
                    </w:p>
                  </w:txbxContent>
                </v:textbox>
                <w10:wrap type="square"/>
              </v:shape>
            </w:pict>
          </mc:Fallback>
        </mc:AlternateContent>
      </w:r>
    </w:p>
    <w:p w14:paraId="5EA039D4" w14:textId="77777777" w:rsidR="00075DAA" w:rsidRPr="00075DAA" w:rsidRDefault="00075DAA" w:rsidP="00723B5B"/>
    <w:p w14:paraId="46540AD4" w14:textId="77777777" w:rsidR="00C57062" w:rsidRDefault="00C57062" w:rsidP="00723B5B">
      <w:pPr>
        <w:rPr>
          <w:b/>
        </w:rPr>
      </w:pPr>
    </w:p>
    <w:p w14:paraId="28DA5893" w14:textId="1759B291" w:rsidR="00BC6A0F" w:rsidRPr="00F90181" w:rsidRDefault="00BC6A0F" w:rsidP="00BC6A0F">
      <w:r>
        <w:t xml:space="preserve">Thus, conditions of unlawful violation of the CTOP Act includes the following and would be found chargeable of offence:  </w:t>
      </w:r>
    </w:p>
    <w:p w14:paraId="5B84C263" w14:textId="77777777" w:rsidR="00BC6A0F" w:rsidRDefault="00BC6A0F" w:rsidP="00BC6A0F">
      <w:pPr>
        <w:rPr>
          <w:szCs w:val="17"/>
        </w:rPr>
      </w:pPr>
    </w:p>
    <w:p w14:paraId="0F2238A5" w14:textId="628C37F2" w:rsidR="00BC6A0F" w:rsidRPr="00FE1770" w:rsidRDefault="00BC6A0F" w:rsidP="008D431E">
      <w:pPr>
        <w:pStyle w:val="ListParagraph"/>
        <w:numPr>
          <w:ilvl w:val="0"/>
          <w:numId w:val="29"/>
        </w:numPr>
        <w:rPr>
          <w:szCs w:val="17"/>
        </w:rPr>
      </w:pPr>
      <w:r w:rsidRPr="00FE1770">
        <w:rPr>
          <w:szCs w:val="17"/>
        </w:rPr>
        <w:t>If a direct provider is found to be denying an individual access to safe TOP services by failing to provide the TOP service and failing to provide referral to a colleague or facility</w:t>
      </w:r>
      <w:r>
        <w:rPr>
          <w:szCs w:val="17"/>
        </w:rPr>
        <w:t xml:space="preserve"> </w:t>
      </w:r>
      <w:r w:rsidRPr="00FE1770">
        <w:rPr>
          <w:szCs w:val="17"/>
        </w:rPr>
        <w:t>that will provide the TOP service</w:t>
      </w:r>
      <w:r>
        <w:rPr>
          <w:szCs w:val="17"/>
        </w:rPr>
        <w:t xml:space="preserve"> and/or obscuring other </w:t>
      </w:r>
      <w:r w:rsidR="00764BE6">
        <w:rPr>
          <w:szCs w:val="17"/>
        </w:rPr>
        <w:t>health care</w:t>
      </w:r>
      <w:r>
        <w:rPr>
          <w:szCs w:val="17"/>
        </w:rPr>
        <w:t xml:space="preserve"> workers to provide safe TOP services</w:t>
      </w:r>
      <w:r w:rsidRPr="00FE1770">
        <w:rPr>
          <w:szCs w:val="17"/>
        </w:rPr>
        <w:t>, the health care professional</w:t>
      </w:r>
      <w:r>
        <w:rPr>
          <w:szCs w:val="17"/>
        </w:rPr>
        <w:t xml:space="preserve"> has un</w:t>
      </w:r>
      <w:r w:rsidR="0058413D">
        <w:rPr>
          <w:szCs w:val="17"/>
        </w:rPr>
        <w:t>lawfully violated the CTOP Act</w:t>
      </w:r>
    </w:p>
    <w:p w14:paraId="2EE3BBE7" w14:textId="6681FF6D" w:rsidR="00BC6A0F" w:rsidRDefault="00BC6A0F" w:rsidP="008D431E">
      <w:pPr>
        <w:pStyle w:val="ListParagraph"/>
        <w:numPr>
          <w:ilvl w:val="0"/>
          <w:numId w:val="29"/>
        </w:numPr>
      </w:pPr>
      <w:r>
        <w:rPr>
          <w:szCs w:val="17"/>
        </w:rPr>
        <w:t>If a</w:t>
      </w:r>
      <w:r w:rsidRPr="00FE1770">
        <w:rPr>
          <w:szCs w:val="17"/>
        </w:rPr>
        <w:t xml:space="preserve"> </w:t>
      </w:r>
      <w:r w:rsidR="00764BE6">
        <w:rPr>
          <w:szCs w:val="17"/>
        </w:rPr>
        <w:t>health care</w:t>
      </w:r>
      <w:r w:rsidRPr="00FE1770">
        <w:rPr>
          <w:szCs w:val="17"/>
        </w:rPr>
        <w:t xml:space="preserve"> professional refuses to assist and is not directly involved in performing the TOP, the </w:t>
      </w:r>
      <w:r w:rsidR="00764BE6">
        <w:rPr>
          <w:szCs w:val="17"/>
        </w:rPr>
        <w:t>health care</w:t>
      </w:r>
      <w:r w:rsidRPr="00FE1770">
        <w:rPr>
          <w:szCs w:val="17"/>
        </w:rPr>
        <w:t xml:space="preserve"> professional </w:t>
      </w:r>
      <w:r>
        <w:rPr>
          <w:szCs w:val="17"/>
        </w:rPr>
        <w:t>has un</w:t>
      </w:r>
      <w:r w:rsidR="0058413D">
        <w:rPr>
          <w:szCs w:val="17"/>
        </w:rPr>
        <w:t>lawfully violated the CTOP Act</w:t>
      </w:r>
    </w:p>
    <w:p w14:paraId="07321EF5" w14:textId="77777777" w:rsidR="00BC6A0F" w:rsidRDefault="00BC6A0F" w:rsidP="00723B5B">
      <w:pPr>
        <w:rPr>
          <w:b/>
        </w:rPr>
      </w:pPr>
    </w:p>
    <w:p w14:paraId="1A40FE8E" w14:textId="7D357763" w:rsidR="00723B5B" w:rsidRPr="003C6FD7" w:rsidRDefault="00723B5B" w:rsidP="00723B5B">
      <w:pPr>
        <w:rPr>
          <w:b/>
        </w:rPr>
      </w:pPr>
      <w:r w:rsidRPr="003C6FD7">
        <w:rPr>
          <w:b/>
        </w:rPr>
        <w:t>Obligations in emergency settings</w:t>
      </w:r>
      <w:bookmarkEnd w:id="48"/>
      <w:bookmarkEnd w:id="49"/>
    </w:p>
    <w:p w14:paraId="565E7185" w14:textId="568068A2" w:rsidR="00075DAA" w:rsidRDefault="00723B5B" w:rsidP="00723B5B">
      <w:r w:rsidRPr="006319A2">
        <w:t xml:space="preserve">Section 36 of the Constitution limits the right to refuse treatment or care </w:t>
      </w:r>
      <w:r w:rsidR="00B43251">
        <w:t xml:space="preserve">to </w:t>
      </w:r>
      <w:r w:rsidRPr="006319A2">
        <w:t xml:space="preserve">when there is a medical emergency and maternal </w:t>
      </w:r>
      <w:r w:rsidR="00CE7F13">
        <w:t xml:space="preserve">life </w:t>
      </w:r>
      <w:r w:rsidRPr="006319A2">
        <w:t>or health</w:t>
      </w:r>
      <w:r w:rsidR="00CE7F13">
        <w:t xml:space="preserve"> </w:t>
      </w:r>
      <w:r w:rsidRPr="006319A2">
        <w:t>is in serious danger.</w:t>
      </w:r>
      <w:r w:rsidRPr="003A70A7">
        <w:t xml:space="preserve"> </w:t>
      </w:r>
      <w:r>
        <w:t>A health care professional can therefore not legally or ethically object to the rendering of care in cases of life- or health-endangering emergencies associated with TOP procedures</w:t>
      </w:r>
      <w:r w:rsidR="005764CB">
        <w:t xml:space="preserve">. </w:t>
      </w:r>
      <w:r w:rsidR="00C74792">
        <w:t>According to the law, h</w:t>
      </w:r>
      <w:r w:rsidR="005764CB">
        <w:t xml:space="preserve">ealth care professionals, regardless of their religious or moral objections, have a duty to perform a TOP procedure if the individual will suffer </w:t>
      </w:r>
      <w:r w:rsidR="005764CB" w:rsidRPr="005764CB">
        <w:rPr>
          <w:i/>
        </w:rPr>
        <w:t>adverse health consequences</w:t>
      </w:r>
      <w:r w:rsidR="005764CB">
        <w:t xml:space="preserve"> if the TOP is not promptly carried out. When an individual faces a risk to their health because a health care professional refuses to provide a TOP, the individual’s right to health is paramount</w:t>
      </w:r>
      <w:r w:rsidR="00C74792">
        <w:t xml:space="preserve">. </w:t>
      </w:r>
    </w:p>
    <w:p w14:paraId="2AFA5FD2" w14:textId="033342D5" w:rsidR="00075DAA" w:rsidRDefault="00075DAA" w:rsidP="00723B5B">
      <w:r>
        <w:rPr>
          <w:noProof/>
          <w:lang w:val="en-ZA" w:eastAsia="en-ZA"/>
        </w:rPr>
        <mc:AlternateContent>
          <mc:Choice Requires="wps">
            <w:drawing>
              <wp:anchor distT="0" distB="0" distL="114300" distR="114300" simplePos="0" relativeHeight="251682816" behindDoc="0" locked="0" layoutInCell="1" allowOverlap="1" wp14:anchorId="60978D9D" wp14:editId="6938DD80">
                <wp:simplePos x="0" y="0"/>
                <wp:positionH relativeFrom="column">
                  <wp:posOffset>-635</wp:posOffset>
                </wp:positionH>
                <wp:positionV relativeFrom="paragraph">
                  <wp:posOffset>196850</wp:posOffset>
                </wp:positionV>
                <wp:extent cx="6146800" cy="1828800"/>
                <wp:effectExtent l="0" t="0" r="0" b="5080"/>
                <wp:wrapSquare wrapText="bothSides"/>
                <wp:docPr id="15" name="Text Box 15"/>
                <wp:cNvGraphicFramePr/>
                <a:graphic xmlns:a="http://schemas.openxmlformats.org/drawingml/2006/main">
                  <a:graphicData uri="http://schemas.microsoft.com/office/word/2010/wordprocessingShape">
                    <wps:wsp>
                      <wps:cNvSpPr txBox="1"/>
                      <wps:spPr>
                        <a:xfrm>
                          <a:off x="0" y="0"/>
                          <a:ext cx="6146800" cy="1828800"/>
                        </a:xfrm>
                        <a:prstGeom prst="rect">
                          <a:avLst/>
                        </a:prstGeom>
                        <a:solidFill>
                          <a:schemeClr val="accent6">
                            <a:lumMod val="20000"/>
                            <a:lumOff val="80000"/>
                          </a:schemeClr>
                        </a:solidFill>
                        <a:ln w="6350">
                          <a:noFill/>
                        </a:ln>
                      </wps:spPr>
                      <wps:txbx>
                        <w:txbxContent>
                          <w:p w14:paraId="623AB3A3" w14:textId="61314299" w:rsidR="003351E3" w:rsidRPr="00075DAA" w:rsidRDefault="003351E3" w:rsidP="005764CB">
                            <w:pPr>
                              <w:jc w:val="center"/>
                              <w:rPr>
                                <w:b/>
                              </w:rPr>
                            </w:pPr>
                            <w:r w:rsidRPr="00075DAA">
                              <w:rPr>
                                <w:b/>
                              </w:rPr>
                              <w:t>All health care professionals must provide emergency care when continuation of a pregnancy poses a serious danger to the life or health of the individual or the foetus, regardless of gestational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978D9D" id="Text Box 15" o:spid="_x0000_s1032" type="#_x0000_t202" style="position:absolute;margin-left:-.05pt;margin-top:15.5pt;width:484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" fillcolor="#e2efd9 [665]" stroked="f" strokeweight=".5pt">
                <v:textbox style="mso-fit-shape-to-text:t">
                  <w:txbxContent>
                    <w:p w14:paraId="623AB3A3" w14:textId="61314299" w:rsidR="003351E3" w:rsidRPr="00075DAA" w:rsidRDefault="003351E3" w:rsidP="005764CB">
                      <w:pPr>
                        <w:jc w:val="center"/>
                        <w:rPr>
                          <w:b/>
                        </w:rPr>
                      </w:pPr>
                      <w:r w:rsidRPr="00075DAA">
                        <w:rPr>
                          <w:b/>
                        </w:rPr>
                        <w:t>All health care professionals must provide emergency care when continuation of a pregnancy poses a serious danger to the life or health of the individual or the foetus, regardless of gestational age.</w:t>
                      </w:r>
                    </w:p>
                  </w:txbxContent>
                </v:textbox>
                <w10:wrap type="square"/>
              </v:shape>
            </w:pict>
          </mc:Fallback>
        </mc:AlternateContent>
      </w:r>
    </w:p>
    <w:p w14:paraId="375BD0D5" w14:textId="6FCF4275" w:rsidR="00F319D2" w:rsidRDefault="00F319D2">
      <w:pPr>
        <w:spacing w:line="240" w:lineRule="auto"/>
      </w:pPr>
    </w:p>
    <w:p w14:paraId="6DEEB5A4" w14:textId="77777777" w:rsidR="00075DAA" w:rsidRDefault="00075DAA">
      <w:pPr>
        <w:spacing w:line="240" w:lineRule="auto"/>
      </w:pPr>
    </w:p>
    <w:p w14:paraId="3E0F569E" w14:textId="56D2B5FC" w:rsidR="00F319D2" w:rsidRPr="00507D47" w:rsidRDefault="003F4563" w:rsidP="003F4563">
      <w:pPr>
        <w:pStyle w:val="Heading1"/>
        <w:rPr>
          <w:rFonts w:eastAsia="Arial"/>
        </w:rPr>
      </w:pPr>
      <w:bookmarkStart w:id="50" w:name="_Toc525688588"/>
      <w:bookmarkStart w:id="51" w:name="_Toc8387199"/>
      <w:r>
        <w:t>I</w:t>
      </w:r>
      <w:r w:rsidRPr="00507D47">
        <w:t>nformation, counselling</w:t>
      </w:r>
      <w:r w:rsidR="00822B7C">
        <w:t>,</w:t>
      </w:r>
      <w:r w:rsidRPr="00507D47">
        <w:t xml:space="preserve"> and consent</w:t>
      </w:r>
      <w:bookmarkEnd w:id="50"/>
      <w:bookmarkEnd w:id="51"/>
      <w:r w:rsidR="00F319D2" w:rsidRPr="00507D47">
        <w:rPr>
          <w:rFonts w:eastAsia="Arial"/>
        </w:rPr>
        <w:t xml:space="preserve"> </w:t>
      </w:r>
    </w:p>
    <w:p w14:paraId="437FA862" w14:textId="77777777" w:rsidR="003F4563" w:rsidRDefault="003F4563" w:rsidP="00F319D2">
      <w:bookmarkStart w:id="52" w:name="_Toc525688589"/>
    </w:p>
    <w:p w14:paraId="6D7AD1AC" w14:textId="05BD1FF5" w:rsidR="00F319D2" w:rsidRPr="00507D47" w:rsidRDefault="00F319D2" w:rsidP="003F4563">
      <w:pPr>
        <w:pStyle w:val="Heading2"/>
      </w:pPr>
      <w:bookmarkStart w:id="53" w:name="_Toc8387200"/>
      <w:r w:rsidRPr="00507D47">
        <w:t>Information</w:t>
      </w:r>
      <w:bookmarkEnd w:id="52"/>
      <w:bookmarkEnd w:id="53"/>
      <w:r w:rsidRPr="00507D47">
        <w:t xml:space="preserve"> </w:t>
      </w:r>
    </w:p>
    <w:p w14:paraId="233870E3" w14:textId="77777777" w:rsidR="003F4563" w:rsidRDefault="003F4563" w:rsidP="00F319D2">
      <w:bookmarkStart w:id="54" w:name="_Toc525688590"/>
    </w:p>
    <w:p w14:paraId="1BCAB15E" w14:textId="136BA227" w:rsidR="00F319D2" w:rsidRPr="003F4563" w:rsidRDefault="00F319D2" w:rsidP="00F319D2">
      <w:pPr>
        <w:rPr>
          <w:b/>
        </w:rPr>
      </w:pPr>
      <w:r w:rsidRPr="003F4563">
        <w:rPr>
          <w:b/>
        </w:rPr>
        <w:t>Right to information</w:t>
      </w:r>
      <w:bookmarkEnd w:id="54"/>
    </w:p>
    <w:p w14:paraId="4A031C9E" w14:textId="0AD2EAE8" w:rsidR="00F319D2" w:rsidRPr="00AD4630" w:rsidRDefault="007A37D4" w:rsidP="00F319D2">
      <w:r>
        <w:t>As per the CTOP Act, any individual</w:t>
      </w:r>
      <w:r w:rsidR="00F319D2" w:rsidRPr="00AD4630">
        <w:t xml:space="preserve"> requesting TOP</w:t>
      </w:r>
      <w:r>
        <w:t xml:space="preserve"> services</w:t>
      </w:r>
      <w:r w:rsidR="00F319D2" w:rsidRPr="00AD4630">
        <w:t xml:space="preserve"> has the right to informatio</w:t>
      </w:r>
      <w:r>
        <w:t>n concerning the TOP</w:t>
      </w:r>
      <w:r w:rsidR="00F319D2" w:rsidRPr="00AD4630">
        <w:t xml:space="preserve">. It is mandatory </w:t>
      </w:r>
      <w:r w:rsidR="00A5532F">
        <w:t xml:space="preserve">for the health care professional </w:t>
      </w:r>
      <w:r w:rsidR="00F319D2" w:rsidRPr="00AD4630">
        <w:t xml:space="preserve">with whom the </w:t>
      </w:r>
      <w:r w:rsidR="007E04D7">
        <w:t>individual</w:t>
      </w:r>
      <w:r w:rsidR="00F319D2" w:rsidRPr="00AD4630">
        <w:t xml:space="preserve"> first requested the TOP service, to inform the </w:t>
      </w:r>
      <w:r w:rsidR="007E04D7">
        <w:t>individual</w:t>
      </w:r>
      <w:r w:rsidR="00F319D2" w:rsidRPr="00AD4630">
        <w:t xml:space="preserve"> of the following:  </w:t>
      </w:r>
    </w:p>
    <w:p w14:paraId="746DBF73" w14:textId="08C19F56" w:rsidR="00F319D2" w:rsidRPr="003F4563" w:rsidRDefault="007A37D4" w:rsidP="00420B1E">
      <w:pPr>
        <w:pStyle w:val="ListParagraph"/>
        <w:numPr>
          <w:ilvl w:val="0"/>
          <w:numId w:val="3"/>
        </w:numPr>
        <w:rPr>
          <w:lang w:val="en-ZA"/>
        </w:rPr>
      </w:pPr>
      <w:r>
        <w:rPr>
          <w:lang w:val="en-ZA"/>
        </w:rPr>
        <w:t>They are</w:t>
      </w:r>
      <w:r w:rsidR="00F319D2" w:rsidRPr="003F4563">
        <w:rPr>
          <w:lang w:val="en-ZA"/>
        </w:rPr>
        <w:t xml:space="preserve"> entitled to the </w:t>
      </w:r>
      <w:r w:rsidR="003F4563">
        <w:rPr>
          <w:lang w:val="en-ZA"/>
        </w:rPr>
        <w:t>TOP</w:t>
      </w:r>
      <w:r w:rsidR="00F319D2" w:rsidRPr="003F4563">
        <w:rPr>
          <w:lang w:val="en-ZA"/>
        </w:rPr>
        <w:t xml:space="preserve"> upon request during the first 12 weeks of the gestation period</w:t>
      </w:r>
    </w:p>
    <w:p w14:paraId="315687C1" w14:textId="60930143" w:rsidR="00F319D2" w:rsidRPr="003F4563" w:rsidRDefault="007A37D4" w:rsidP="00420B1E">
      <w:pPr>
        <w:pStyle w:val="ListParagraph"/>
        <w:numPr>
          <w:ilvl w:val="0"/>
          <w:numId w:val="3"/>
        </w:numPr>
        <w:rPr>
          <w:lang w:val="en-ZA"/>
        </w:rPr>
      </w:pPr>
      <w:r>
        <w:rPr>
          <w:lang w:val="en-ZA"/>
        </w:rPr>
        <w:t xml:space="preserve">Their </w:t>
      </w:r>
      <w:r w:rsidR="00F319D2" w:rsidRPr="003F4563">
        <w:rPr>
          <w:lang w:val="en-ZA"/>
        </w:rPr>
        <w:t>pregnancy may be terminated from the 13</w:t>
      </w:r>
      <w:r w:rsidR="00F319D2" w:rsidRPr="003F4563">
        <w:rPr>
          <w:vertAlign w:val="superscript"/>
          <w:lang w:val="en-ZA"/>
        </w:rPr>
        <w:t>th</w:t>
      </w:r>
      <w:r w:rsidR="003F4563">
        <w:rPr>
          <w:lang w:val="en-ZA"/>
        </w:rPr>
        <w:t xml:space="preserve"> week</w:t>
      </w:r>
      <w:r w:rsidR="00F319D2" w:rsidRPr="003F4563">
        <w:rPr>
          <w:lang w:val="en-ZA"/>
        </w:rPr>
        <w:t xml:space="preserve"> up to and including the 20</w:t>
      </w:r>
      <w:r w:rsidR="00F319D2" w:rsidRPr="003F4563">
        <w:rPr>
          <w:vertAlign w:val="superscript"/>
          <w:lang w:val="en-ZA"/>
        </w:rPr>
        <w:t>th</w:t>
      </w:r>
      <w:r w:rsidR="003F4563">
        <w:rPr>
          <w:lang w:val="en-ZA"/>
        </w:rPr>
        <w:t xml:space="preserve"> week</w:t>
      </w:r>
      <w:r w:rsidR="00F319D2" w:rsidRPr="003F4563">
        <w:rPr>
          <w:lang w:val="en-ZA"/>
        </w:rPr>
        <w:t xml:space="preserve"> of the gestation period under the circumstances</w:t>
      </w:r>
      <w:r w:rsidR="00F72633">
        <w:rPr>
          <w:lang w:val="en-ZA"/>
        </w:rPr>
        <w:t xml:space="preserve"> outlined in</w:t>
      </w:r>
      <w:r w:rsidR="00F319D2" w:rsidRPr="003F4563">
        <w:rPr>
          <w:lang w:val="en-ZA"/>
        </w:rPr>
        <w:t xml:space="preserve"> </w:t>
      </w:r>
      <w:r w:rsidR="009E00D7">
        <w:rPr>
          <w:lang w:val="en-ZA"/>
        </w:rPr>
        <w:fldChar w:fldCharType="begin"/>
      </w:r>
      <w:r w:rsidR="009E00D7">
        <w:rPr>
          <w:lang w:val="en-ZA"/>
        </w:rPr>
        <w:instrText xml:space="preserve"> REF _Ref531260674 \h </w:instrText>
      </w:r>
      <w:r w:rsidR="009E00D7">
        <w:rPr>
          <w:lang w:val="en-ZA"/>
        </w:rPr>
      </w:r>
      <w:r w:rsidR="009E00D7">
        <w:rPr>
          <w:lang w:val="en-ZA"/>
        </w:rPr>
        <w:fldChar w:fldCharType="separate"/>
      </w:r>
      <w:r w:rsidR="009E00D7">
        <w:t xml:space="preserve">Table </w:t>
      </w:r>
      <w:r w:rsidR="009E00D7">
        <w:rPr>
          <w:noProof/>
        </w:rPr>
        <w:t>1</w:t>
      </w:r>
      <w:r w:rsidR="009E00D7">
        <w:rPr>
          <w:lang w:val="en-ZA"/>
        </w:rPr>
        <w:fldChar w:fldCharType="end"/>
      </w:r>
    </w:p>
    <w:p w14:paraId="5FA2BD05" w14:textId="22277927" w:rsidR="00F319D2" w:rsidRPr="003F4563" w:rsidRDefault="007A37D4" w:rsidP="00420B1E">
      <w:pPr>
        <w:pStyle w:val="ListParagraph"/>
        <w:numPr>
          <w:ilvl w:val="0"/>
          <w:numId w:val="3"/>
        </w:numPr>
        <w:rPr>
          <w:lang w:val="en-ZA"/>
        </w:rPr>
      </w:pPr>
      <w:r>
        <w:rPr>
          <w:lang w:val="en-ZA"/>
        </w:rPr>
        <w:t>Only their</w:t>
      </w:r>
      <w:r w:rsidR="00F319D2" w:rsidRPr="003F4563">
        <w:rPr>
          <w:lang w:val="en-ZA"/>
        </w:rPr>
        <w:t xml:space="preserve"> consent is required for the </w:t>
      </w:r>
      <w:r w:rsidR="009E00D7">
        <w:rPr>
          <w:lang w:val="en-ZA"/>
        </w:rPr>
        <w:t>TOP</w:t>
      </w:r>
    </w:p>
    <w:p w14:paraId="013A54B8" w14:textId="5F5F98C5" w:rsidR="00F319D2" w:rsidRPr="003F4563" w:rsidRDefault="00F319D2" w:rsidP="00420B1E">
      <w:pPr>
        <w:pStyle w:val="ListParagraph"/>
        <w:numPr>
          <w:ilvl w:val="0"/>
          <w:numId w:val="3"/>
        </w:numPr>
        <w:rPr>
          <w:lang w:val="en-ZA"/>
        </w:rPr>
      </w:pPr>
      <w:r w:rsidRPr="003F4563">
        <w:rPr>
          <w:lang w:val="en-ZA"/>
        </w:rPr>
        <w:t xml:space="preserve">The provision of non-mandatory and non-directive counselling, before and after the </w:t>
      </w:r>
      <w:r w:rsidR="009E00D7">
        <w:rPr>
          <w:lang w:val="en-ZA"/>
        </w:rPr>
        <w:t>TOP</w:t>
      </w:r>
      <w:r w:rsidR="007A37D4">
        <w:rPr>
          <w:lang w:val="en-ZA"/>
        </w:rPr>
        <w:t>,</w:t>
      </w:r>
      <w:r w:rsidR="009E00D7">
        <w:rPr>
          <w:lang w:val="en-ZA"/>
        </w:rPr>
        <w:t xml:space="preserve"> </w:t>
      </w:r>
      <w:r w:rsidRPr="003F4563">
        <w:rPr>
          <w:lang w:val="en-ZA"/>
        </w:rPr>
        <w:t>shall be available</w:t>
      </w:r>
    </w:p>
    <w:p w14:paraId="35D0B989" w14:textId="5E1EFBDD" w:rsidR="00F319D2" w:rsidRPr="003F4563" w:rsidRDefault="007A37D4" w:rsidP="00420B1E">
      <w:pPr>
        <w:pStyle w:val="ListParagraph"/>
        <w:numPr>
          <w:ilvl w:val="0"/>
          <w:numId w:val="3"/>
        </w:numPr>
        <w:rPr>
          <w:lang w:val="en-ZA"/>
        </w:rPr>
      </w:pPr>
      <w:r>
        <w:rPr>
          <w:lang w:val="en-ZA"/>
        </w:rPr>
        <w:t>If the facility first visited by the individual does not provide TOP, referral to a</w:t>
      </w:r>
      <w:r w:rsidR="00F319D2" w:rsidRPr="003F4563">
        <w:rPr>
          <w:lang w:val="en-ZA"/>
        </w:rPr>
        <w:t xml:space="preserve"> </w:t>
      </w:r>
      <w:r>
        <w:rPr>
          <w:lang w:val="en-ZA"/>
        </w:rPr>
        <w:t xml:space="preserve">list </w:t>
      </w:r>
      <w:r w:rsidR="00F319D2" w:rsidRPr="003F4563">
        <w:rPr>
          <w:lang w:val="en-ZA"/>
        </w:rPr>
        <w:t>of facilities providing TOPs</w:t>
      </w:r>
      <w:r>
        <w:rPr>
          <w:lang w:val="en-ZA"/>
        </w:rPr>
        <w:t xml:space="preserve"> and their locations </w:t>
      </w:r>
    </w:p>
    <w:p w14:paraId="40529DB9" w14:textId="77777777" w:rsidR="009E00D7" w:rsidRDefault="009E00D7" w:rsidP="00F319D2">
      <w:bookmarkStart w:id="55" w:name="_Toc525688591"/>
    </w:p>
    <w:p w14:paraId="236A9A6F" w14:textId="472061BE" w:rsidR="00F319D2" w:rsidRPr="00507D47" w:rsidRDefault="00F319D2" w:rsidP="009E00D7">
      <w:pPr>
        <w:pStyle w:val="Heading2"/>
      </w:pPr>
      <w:bookmarkStart w:id="56" w:name="_Toc8387201"/>
      <w:r w:rsidRPr="00507D47">
        <w:lastRenderedPageBreak/>
        <w:t>Counselling</w:t>
      </w:r>
      <w:bookmarkEnd w:id="55"/>
      <w:bookmarkEnd w:id="56"/>
    </w:p>
    <w:p w14:paraId="22A3302B" w14:textId="77777777" w:rsidR="009E00D7" w:rsidRDefault="009E00D7" w:rsidP="00F319D2"/>
    <w:p w14:paraId="39D8DDFF" w14:textId="025167D1" w:rsidR="00F319D2" w:rsidRPr="009505A1" w:rsidRDefault="00F319D2" w:rsidP="00F319D2">
      <w:r w:rsidRPr="00F5224A">
        <w:rPr>
          <w:noProof/>
          <w:lang w:val="en-ZA" w:eastAsia="en-ZA"/>
        </w:rPr>
        <mc:AlternateContent>
          <mc:Choice Requires="wps">
            <w:drawing>
              <wp:anchor distT="0" distB="0" distL="114300" distR="114300" simplePos="0" relativeHeight="251676672" behindDoc="0" locked="0" layoutInCell="1" allowOverlap="1" wp14:anchorId="38C7B061" wp14:editId="7A56242B">
                <wp:simplePos x="0" y="0"/>
                <wp:positionH relativeFrom="column">
                  <wp:posOffset>3871541</wp:posOffset>
                </wp:positionH>
                <wp:positionV relativeFrom="paragraph">
                  <wp:posOffset>669925</wp:posOffset>
                </wp:positionV>
                <wp:extent cx="1946275" cy="1366520"/>
                <wp:effectExtent l="88900" t="88900" r="98425" b="984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366520"/>
                        </a:xfrm>
                        <a:prstGeom prst="rect">
                          <a:avLst/>
                        </a:prstGeom>
                        <a:noFill/>
                        <a:ln w="6350">
                          <a:solidFill>
                            <a:srgbClr val="009051"/>
                          </a:solidFill>
                        </a:ln>
                        <a:effectLst>
                          <a:outerShdw blurRad="63500" sx="102000" sy="102000" algn="ctr" rotWithShape="0">
                            <a:prstClr val="black">
                              <a:alpha val="40000"/>
                            </a:prstClr>
                          </a:outerShdw>
                        </a:effectLst>
                      </wps:spPr>
                      <wps:txbx>
                        <w:txbxContent>
                          <w:p w14:paraId="25BA7CED" w14:textId="77777777" w:rsidR="003351E3" w:rsidRPr="009505A1" w:rsidRDefault="003351E3" w:rsidP="009505A1">
                            <w:pPr>
                              <w:pStyle w:val="Caption"/>
                              <w:spacing w:after="0"/>
                              <w:jc w:val="center"/>
                              <w:rPr>
                                <w:rFonts w:cstheme="minorHAnsi"/>
                                <w:bCs/>
                                <w:color w:val="auto"/>
                                <w:sz w:val="20"/>
                                <w:szCs w:val="20"/>
                              </w:rPr>
                            </w:pPr>
                            <w:r w:rsidRPr="009505A1">
                              <w:rPr>
                                <w:rFonts w:cstheme="minorHAnsi"/>
                                <w:bCs/>
                                <w:color w:val="auto"/>
                                <w:sz w:val="20"/>
                                <w:szCs w:val="20"/>
                              </w:rPr>
                              <w:t>Section 4 of CTOP Act:</w:t>
                            </w:r>
                          </w:p>
                          <w:p w14:paraId="7E5765AA" w14:textId="77777777" w:rsidR="003351E3" w:rsidRPr="009505A1" w:rsidRDefault="003351E3" w:rsidP="009505A1">
                            <w:pPr>
                              <w:pStyle w:val="Caption"/>
                              <w:spacing w:after="0"/>
                              <w:jc w:val="center"/>
                              <w:rPr>
                                <w:rFonts w:cstheme="minorHAnsi"/>
                                <w:bCs/>
                                <w:color w:val="auto"/>
                                <w:sz w:val="20"/>
                                <w:szCs w:val="20"/>
                              </w:rPr>
                            </w:pPr>
                            <w:r w:rsidRPr="009505A1">
                              <w:rPr>
                                <w:rFonts w:cstheme="minorHAnsi"/>
                                <w:bCs/>
                                <w:color w:val="auto"/>
                                <w:sz w:val="20"/>
                                <w:szCs w:val="20"/>
                              </w:rPr>
                              <w:t>“The State shall promote the provision of non-mandatory and non-directive counselling, before and after the termination of a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8C7B061" id="Text Box 6" o:spid="_x0000_s1033" type="#_x0000_t202" style="position:absolute;margin-left:304.85pt;margin-top:52.75pt;width:153.25pt;height:10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" filled="f" strokecolor="#009051" strokeweight=".5pt">
                <v:shadow on="t" type="perspective" color="black" opacity="26214f" offset="0,0" matrix="66847f,,,66847f"/>
                <v:textbox style="mso-fit-shape-to-text:t">
                  <w:txbxContent>
                    <w:p w14:paraId="25BA7CED" w14:textId="77777777" w:rsidR="003351E3" w:rsidRPr="009505A1" w:rsidRDefault="003351E3" w:rsidP="009505A1">
                      <w:pPr>
                        <w:pStyle w:val="Caption"/>
                        <w:spacing w:after="0"/>
                        <w:jc w:val="center"/>
                        <w:rPr>
                          <w:rFonts w:cstheme="minorHAnsi"/>
                          <w:bCs/>
                          <w:color w:val="auto"/>
                          <w:sz w:val="20"/>
                          <w:szCs w:val="20"/>
                        </w:rPr>
                      </w:pPr>
                      <w:r w:rsidRPr="009505A1">
                        <w:rPr>
                          <w:rFonts w:cstheme="minorHAnsi"/>
                          <w:bCs/>
                          <w:color w:val="auto"/>
                          <w:sz w:val="20"/>
                          <w:szCs w:val="20"/>
                        </w:rPr>
                        <w:t>Section 4 of CTOP Act:</w:t>
                      </w:r>
                    </w:p>
                    <w:p w14:paraId="7E5765AA" w14:textId="77777777" w:rsidR="003351E3" w:rsidRPr="009505A1" w:rsidRDefault="003351E3" w:rsidP="009505A1">
                      <w:pPr>
                        <w:pStyle w:val="Caption"/>
                        <w:spacing w:after="0"/>
                        <w:jc w:val="center"/>
                        <w:rPr>
                          <w:rFonts w:cstheme="minorHAnsi"/>
                          <w:bCs/>
                          <w:color w:val="auto"/>
                          <w:sz w:val="20"/>
                          <w:szCs w:val="20"/>
                        </w:rPr>
                      </w:pPr>
                      <w:r w:rsidRPr="009505A1">
                        <w:rPr>
                          <w:rFonts w:cstheme="minorHAnsi"/>
                          <w:bCs/>
                          <w:color w:val="auto"/>
                          <w:sz w:val="20"/>
                          <w:szCs w:val="20"/>
                        </w:rPr>
                        <w:t>“The State shall promote the provision of non-mandatory and non-directive counselling, before and after the termination of a pregnancy.”</w:t>
                      </w:r>
                    </w:p>
                  </w:txbxContent>
                </v:textbox>
                <w10:wrap type="square"/>
              </v:shape>
            </w:pict>
          </mc:Fallback>
        </mc:AlternateContent>
      </w:r>
      <w:r w:rsidRPr="00F5224A">
        <w:t xml:space="preserve">The provision of informative and supportive counselling </w:t>
      </w:r>
      <w:r w:rsidR="00FA2D12" w:rsidRPr="00F5224A">
        <w:t>forms</w:t>
      </w:r>
      <w:r w:rsidRPr="00F5224A">
        <w:t xml:space="preserve"> an essential part of high-quality </w:t>
      </w:r>
      <w:r>
        <w:t>TOP</w:t>
      </w:r>
      <w:r w:rsidRPr="00F5224A">
        <w:t xml:space="preserve"> services. Every pregnant </w:t>
      </w:r>
      <w:r w:rsidR="007E04D7">
        <w:t>individual</w:t>
      </w:r>
      <w:r w:rsidRPr="00F5224A">
        <w:t xml:space="preserve"> who is contemplating </w:t>
      </w:r>
      <w:r>
        <w:t>TOP</w:t>
      </w:r>
      <w:r w:rsidRPr="00F5224A">
        <w:t xml:space="preserve"> should be offered pre</w:t>
      </w:r>
      <w:r w:rsidR="00E801F2">
        <w:t>-</w:t>
      </w:r>
      <w:r w:rsidRPr="00F5224A">
        <w:t xml:space="preserve"> and post-counsel</w:t>
      </w:r>
      <w:r w:rsidR="00FA2D12">
        <w:t xml:space="preserve">ling from a trained </w:t>
      </w:r>
      <w:r w:rsidR="00764BE6">
        <w:t>health care</w:t>
      </w:r>
      <w:r w:rsidR="00FA2D12">
        <w:t xml:space="preserve"> </w:t>
      </w:r>
      <w:r w:rsidRPr="00F5224A">
        <w:t>professional</w:t>
      </w:r>
      <w:r w:rsidR="00FA2D12">
        <w:t>,</w:t>
      </w:r>
      <w:r w:rsidRPr="00F5224A">
        <w:t xml:space="preserve"> although it is up to the </w:t>
      </w:r>
      <w:r w:rsidR="007E04D7">
        <w:t>individual</w:t>
      </w:r>
      <w:r w:rsidRPr="00F5224A">
        <w:t xml:space="preserve"> whether or not to access the service. As per section 4 of the C</w:t>
      </w:r>
      <w:r>
        <w:t>TOP</w:t>
      </w:r>
      <w:r w:rsidR="00FA2D12">
        <w:t xml:space="preserve"> Act, counselling shall, at minimum, </w:t>
      </w:r>
      <w:r w:rsidRPr="00F5224A">
        <w:t>include suf</w:t>
      </w:r>
      <w:r w:rsidR="00FA2D12">
        <w:t xml:space="preserve">ficient information to assist an individual </w:t>
      </w:r>
      <w:r w:rsidRPr="00F5224A">
        <w:t xml:space="preserve">to make an informed choice regarding the </w:t>
      </w:r>
      <w:r w:rsidR="00E801F2">
        <w:t>TOP</w:t>
      </w:r>
      <w:r w:rsidRPr="00F5224A">
        <w:t xml:space="preserve">. This information should be in a form </w:t>
      </w:r>
      <w:r w:rsidR="00FA2D12">
        <w:t>that the individual</w:t>
      </w:r>
      <w:r w:rsidRPr="00F5224A">
        <w:t xml:space="preserve"> can understand and recall.</w:t>
      </w:r>
      <w:r w:rsidR="009505A1">
        <w:t xml:space="preserve"> </w:t>
      </w:r>
      <w:r>
        <w:t xml:space="preserve">A trained </w:t>
      </w:r>
      <w:r w:rsidR="00764BE6">
        <w:t>health care</w:t>
      </w:r>
      <w:r>
        <w:t xml:space="preserve"> professional</w:t>
      </w:r>
      <w:r w:rsidR="009505A1">
        <w:t xml:space="preserve"> (</w:t>
      </w:r>
      <w:r>
        <w:t xml:space="preserve">midwife, </w:t>
      </w:r>
      <w:r w:rsidRPr="003725B0">
        <w:t>nurse, medical doctor</w:t>
      </w:r>
      <w:r w:rsidR="009505A1">
        <w:t>,</w:t>
      </w:r>
      <w:r w:rsidR="00FA2D12">
        <w:t xml:space="preserve"> or a community-</w:t>
      </w:r>
      <w:r w:rsidRPr="003725B0">
        <w:t>based health care worker</w:t>
      </w:r>
      <w:r w:rsidR="009505A1">
        <w:t>)</w:t>
      </w:r>
      <w:r w:rsidRPr="003725B0">
        <w:t xml:space="preserve"> can provide counselling</w:t>
      </w:r>
      <w:r w:rsidR="009505A1">
        <w:t>.</w:t>
      </w:r>
    </w:p>
    <w:p w14:paraId="6BADBD7A" w14:textId="77777777" w:rsidR="00E801F2" w:rsidRDefault="00E801F2" w:rsidP="00F319D2">
      <w:bookmarkStart w:id="57" w:name="_Toc525688592"/>
    </w:p>
    <w:p w14:paraId="4FC95042" w14:textId="6BEB6333" w:rsidR="00F319D2" w:rsidRPr="009505A1" w:rsidRDefault="008109DD" w:rsidP="00F319D2">
      <w:pPr>
        <w:rPr>
          <w:b/>
        </w:rPr>
      </w:pPr>
      <w:r>
        <w:rPr>
          <w:b/>
        </w:rPr>
        <w:t>Counselling s</w:t>
      </w:r>
      <w:r w:rsidR="00F319D2" w:rsidRPr="009505A1">
        <w:rPr>
          <w:b/>
        </w:rPr>
        <w:t>tandards</w:t>
      </w:r>
      <w:bookmarkEnd w:id="57"/>
    </w:p>
    <w:p w14:paraId="4A2BFF1C" w14:textId="385392EF" w:rsidR="00F319D2" w:rsidRPr="00F5224A" w:rsidRDefault="00F319D2" w:rsidP="00F319D2">
      <w:r w:rsidRPr="00F5224A">
        <w:t>The following standards should be adhered to regardless of the type of counselling pro</w:t>
      </w:r>
      <w:r>
        <w:t>vided</w:t>
      </w:r>
      <w:r w:rsidR="005F023E">
        <w:t>. C</w:t>
      </w:r>
      <w:r w:rsidR="00777E3B">
        <w:t>ounselling:</w:t>
      </w:r>
    </w:p>
    <w:p w14:paraId="76D0113C" w14:textId="24CEA01B" w:rsidR="00F319D2" w:rsidRPr="003426F5" w:rsidRDefault="00F319D2" w:rsidP="00420B1E">
      <w:pPr>
        <w:pStyle w:val="ListParagraph"/>
        <w:numPr>
          <w:ilvl w:val="0"/>
          <w:numId w:val="3"/>
        </w:numPr>
        <w:rPr>
          <w:lang w:val="en-ZA"/>
        </w:rPr>
      </w:pPr>
      <w:r w:rsidRPr="003426F5">
        <w:rPr>
          <w:lang w:val="en-ZA"/>
        </w:rPr>
        <w:t xml:space="preserve">Should be non-directive and non-mandatory, and conducted in a manner that allows the </w:t>
      </w:r>
      <w:r w:rsidR="007E04D7">
        <w:rPr>
          <w:lang w:val="en-ZA"/>
        </w:rPr>
        <w:t>individual</w:t>
      </w:r>
      <w:r w:rsidRPr="003426F5">
        <w:rPr>
          <w:lang w:val="en-ZA"/>
        </w:rPr>
        <w:t xml:space="preserve"> to make au</w:t>
      </w:r>
      <w:r w:rsidR="0058413D">
        <w:rPr>
          <w:lang w:val="en-ZA"/>
        </w:rPr>
        <w:t>tonomous and informed decisions</w:t>
      </w:r>
    </w:p>
    <w:p w14:paraId="273232A5" w14:textId="1494AF64" w:rsidR="00F319D2" w:rsidRPr="003426F5" w:rsidRDefault="00F319D2" w:rsidP="00420B1E">
      <w:pPr>
        <w:pStyle w:val="ListParagraph"/>
        <w:numPr>
          <w:ilvl w:val="0"/>
          <w:numId w:val="3"/>
        </w:numPr>
        <w:rPr>
          <w:lang w:val="en-ZA"/>
        </w:rPr>
      </w:pPr>
      <w:r w:rsidRPr="003426F5">
        <w:rPr>
          <w:lang w:val="en-ZA"/>
        </w:rPr>
        <w:t xml:space="preserve">Should be confidential at all times and </w:t>
      </w:r>
      <w:r w:rsidR="007E04D7">
        <w:rPr>
          <w:lang w:val="en-ZA"/>
        </w:rPr>
        <w:t>individual</w:t>
      </w:r>
      <w:r w:rsidRPr="003426F5">
        <w:rPr>
          <w:lang w:val="en-ZA"/>
        </w:rPr>
        <w:t>s should be informed of their rights to confidentiality.</w:t>
      </w:r>
      <w:r w:rsidRPr="003426F5" w:rsidDel="004C6C2A">
        <w:rPr>
          <w:lang w:val="en-ZA"/>
        </w:rPr>
        <w:t xml:space="preserve"> </w:t>
      </w:r>
    </w:p>
    <w:p w14:paraId="4BCDA38E" w14:textId="074E8F4D" w:rsidR="00F319D2" w:rsidRPr="003426F5" w:rsidRDefault="00F319D2" w:rsidP="00420B1E">
      <w:pPr>
        <w:pStyle w:val="ListParagraph"/>
        <w:numPr>
          <w:ilvl w:val="0"/>
          <w:numId w:val="3"/>
        </w:numPr>
        <w:rPr>
          <w:lang w:val="en-ZA"/>
        </w:rPr>
      </w:pPr>
      <w:r w:rsidRPr="003426F5">
        <w:rPr>
          <w:lang w:val="en-ZA"/>
        </w:rPr>
        <w:t>Should be patient-centred and based on human rights</w:t>
      </w:r>
      <w:r w:rsidR="00777E3B">
        <w:rPr>
          <w:lang w:val="en-ZA"/>
        </w:rPr>
        <w:t>,</w:t>
      </w:r>
      <w:r w:rsidRPr="003426F5">
        <w:rPr>
          <w:lang w:val="en-ZA"/>
        </w:rPr>
        <w:t xml:space="preserve"> which emphasise</w:t>
      </w:r>
      <w:r w:rsidR="00777E3B">
        <w:rPr>
          <w:lang w:val="en-ZA"/>
        </w:rPr>
        <w:t>s</w:t>
      </w:r>
      <w:r w:rsidRPr="003426F5">
        <w:rPr>
          <w:lang w:val="en-ZA"/>
        </w:rPr>
        <w:t xml:space="preserve"> the following</w:t>
      </w:r>
      <w:r w:rsidR="00777E3B">
        <w:rPr>
          <w:lang w:val="en-ZA"/>
        </w:rPr>
        <w:t>:</w:t>
      </w:r>
    </w:p>
    <w:p w14:paraId="2B086098" w14:textId="50EEC1EA" w:rsidR="00F319D2" w:rsidRPr="003426F5" w:rsidRDefault="00F319D2" w:rsidP="00420B1E">
      <w:pPr>
        <w:pStyle w:val="ListParagraph"/>
        <w:numPr>
          <w:ilvl w:val="1"/>
          <w:numId w:val="3"/>
        </w:numPr>
        <w:rPr>
          <w:lang w:val="en-ZA"/>
        </w:rPr>
      </w:pPr>
      <w:r w:rsidRPr="003426F5">
        <w:rPr>
          <w:lang w:val="en-ZA"/>
        </w:rPr>
        <w:t xml:space="preserve">Counselling is an interactive, two-way discussion in which the stories and narratives told by the </w:t>
      </w:r>
      <w:r w:rsidR="007E04D7">
        <w:rPr>
          <w:lang w:val="en-ZA"/>
        </w:rPr>
        <w:t>individual</w:t>
      </w:r>
      <w:r w:rsidR="0058413D">
        <w:rPr>
          <w:lang w:val="en-ZA"/>
        </w:rPr>
        <w:t xml:space="preserve"> are important and respected</w:t>
      </w:r>
    </w:p>
    <w:p w14:paraId="7B6E712B" w14:textId="6DFF0CDD" w:rsidR="00F319D2" w:rsidRPr="003426F5" w:rsidRDefault="00F319D2" w:rsidP="00420B1E">
      <w:pPr>
        <w:pStyle w:val="ListParagraph"/>
        <w:numPr>
          <w:ilvl w:val="1"/>
          <w:numId w:val="3"/>
        </w:numPr>
        <w:rPr>
          <w:lang w:val="en-ZA"/>
        </w:rPr>
      </w:pPr>
      <w:r w:rsidRPr="003426F5">
        <w:rPr>
          <w:lang w:val="en-ZA"/>
        </w:rPr>
        <w:t xml:space="preserve">Attitude and </w:t>
      </w:r>
      <w:r w:rsidR="00777E3B">
        <w:rPr>
          <w:lang w:val="en-ZA"/>
        </w:rPr>
        <w:t>style</w:t>
      </w:r>
      <w:r w:rsidRPr="003426F5">
        <w:rPr>
          <w:lang w:val="en-ZA"/>
        </w:rPr>
        <w:t xml:space="preserve"> of communicat</w:t>
      </w:r>
      <w:r w:rsidR="00777E3B">
        <w:rPr>
          <w:lang w:val="en-ZA"/>
        </w:rPr>
        <w:t>ion</w:t>
      </w:r>
      <w:r w:rsidRPr="003426F5">
        <w:rPr>
          <w:lang w:val="en-ZA"/>
        </w:rPr>
        <w:t>, security</w:t>
      </w:r>
      <w:r w:rsidR="00777E3B">
        <w:rPr>
          <w:lang w:val="en-ZA"/>
        </w:rPr>
        <w:t>,</w:t>
      </w:r>
      <w:r w:rsidRPr="003426F5">
        <w:rPr>
          <w:lang w:val="en-ZA"/>
        </w:rPr>
        <w:t xml:space="preserve"> and trust are important for the </w:t>
      </w:r>
      <w:r w:rsidR="007E04D7">
        <w:rPr>
          <w:lang w:val="en-ZA"/>
        </w:rPr>
        <w:t>individual</w:t>
      </w:r>
      <w:r w:rsidRPr="003426F5">
        <w:rPr>
          <w:lang w:val="en-ZA"/>
        </w:rPr>
        <w:t xml:space="preserve">'s </w:t>
      </w:r>
      <w:r w:rsidR="00777E3B">
        <w:rPr>
          <w:lang w:val="en-ZA"/>
        </w:rPr>
        <w:t xml:space="preserve">positive </w:t>
      </w:r>
      <w:r w:rsidR="0058413D">
        <w:rPr>
          <w:lang w:val="en-ZA"/>
        </w:rPr>
        <w:t>experience</w:t>
      </w:r>
    </w:p>
    <w:p w14:paraId="56F88989" w14:textId="36B93BA6" w:rsidR="00F319D2" w:rsidRPr="003426F5" w:rsidRDefault="00F319D2" w:rsidP="00420B1E">
      <w:pPr>
        <w:pStyle w:val="ListParagraph"/>
        <w:numPr>
          <w:ilvl w:val="1"/>
          <w:numId w:val="3"/>
        </w:numPr>
        <w:rPr>
          <w:lang w:val="en-ZA"/>
        </w:rPr>
      </w:pPr>
      <w:r w:rsidRPr="003426F5">
        <w:rPr>
          <w:lang w:val="en-ZA"/>
        </w:rPr>
        <w:t xml:space="preserve">Show respect for </w:t>
      </w:r>
      <w:r w:rsidR="007E04D7">
        <w:rPr>
          <w:lang w:val="en-ZA"/>
        </w:rPr>
        <w:t>the individual</w:t>
      </w:r>
      <w:r w:rsidRPr="003426F5">
        <w:rPr>
          <w:lang w:val="en-ZA"/>
        </w:rPr>
        <w:t xml:space="preserve"> by being responsive to </w:t>
      </w:r>
      <w:r w:rsidR="00820247">
        <w:rPr>
          <w:lang w:val="en-ZA"/>
        </w:rPr>
        <w:t xml:space="preserve">their </w:t>
      </w:r>
      <w:r w:rsidRPr="003426F5">
        <w:rPr>
          <w:lang w:val="en-ZA"/>
        </w:rPr>
        <w:t xml:space="preserve">stories and experiences </w:t>
      </w:r>
    </w:p>
    <w:p w14:paraId="17C143FC" w14:textId="6ECD3D93" w:rsidR="00F319D2" w:rsidRPr="003426F5" w:rsidRDefault="00F319D2" w:rsidP="00420B1E">
      <w:pPr>
        <w:pStyle w:val="ListParagraph"/>
        <w:numPr>
          <w:ilvl w:val="1"/>
          <w:numId w:val="3"/>
        </w:numPr>
        <w:rPr>
          <w:lang w:val="en-ZA"/>
        </w:rPr>
      </w:pPr>
      <w:r w:rsidRPr="003426F5">
        <w:rPr>
          <w:lang w:val="en-ZA"/>
        </w:rPr>
        <w:t xml:space="preserve">Counsellors should recognise the social context within which </w:t>
      </w:r>
      <w:r w:rsidR="00775353" w:rsidRPr="003426F5">
        <w:rPr>
          <w:lang w:val="en-ZA"/>
        </w:rPr>
        <w:t>an</w:t>
      </w:r>
      <w:r w:rsidRPr="003426F5">
        <w:rPr>
          <w:lang w:val="en-ZA"/>
        </w:rPr>
        <w:t xml:space="preserve"> </w:t>
      </w:r>
      <w:r w:rsidR="007E04D7">
        <w:rPr>
          <w:lang w:val="en-ZA"/>
        </w:rPr>
        <w:t>individual</w:t>
      </w:r>
      <w:r w:rsidRPr="003426F5">
        <w:rPr>
          <w:lang w:val="en-ZA"/>
        </w:rPr>
        <w:t xml:space="preserve"> requests the TOP. They should</w:t>
      </w:r>
      <w:r w:rsidR="00C050D8">
        <w:rPr>
          <w:lang w:val="en-ZA"/>
        </w:rPr>
        <w:t>,</w:t>
      </w:r>
      <w:r w:rsidRPr="003426F5">
        <w:rPr>
          <w:lang w:val="en-ZA"/>
        </w:rPr>
        <w:t xml:space="preserve"> under no circumstances</w:t>
      </w:r>
      <w:r w:rsidR="00C050D8">
        <w:rPr>
          <w:lang w:val="en-ZA"/>
        </w:rPr>
        <w:t>,</w:t>
      </w:r>
      <w:r w:rsidRPr="003426F5">
        <w:rPr>
          <w:lang w:val="en-ZA"/>
        </w:rPr>
        <w:t xml:space="preserve"> demand information from the </w:t>
      </w:r>
      <w:r w:rsidR="007E04D7">
        <w:rPr>
          <w:lang w:val="en-ZA"/>
        </w:rPr>
        <w:t>individual</w:t>
      </w:r>
      <w:r w:rsidRPr="003426F5">
        <w:rPr>
          <w:lang w:val="en-ZA"/>
        </w:rPr>
        <w:t xml:space="preserve"> and should show understanding for the </w:t>
      </w:r>
      <w:r w:rsidR="007E04D7">
        <w:rPr>
          <w:lang w:val="en-ZA"/>
        </w:rPr>
        <w:t>individual</w:t>
      </w:r>
      <w:r w:rsidRPr="003426F5">
        <w:rPr>
          <w:lang w:val="en-ZA"/>
        </w:rPr>
        <w:t xml:space="preserve">’s situation if the </w:t>
      </w:r>
      <w:r w:rsidR="007E04D7">
        <w:rPr>
          <w:lang w:val="en-ZA"/>
        </w:rPr>
        <w:t>individual</w:t>
      </w:r>
      <w:r w:rsidRPr="003426F5">
        <w:rPr>
          <w:lang w:val="en-ZA"/>
        </w:rPr>
        <w:t xml:space="preserve"> </w:t>
      </w:r>
      <w:r w:rsidR="00820247">
        <w:rPr>
          <w:lang w:val="en-ZA"/>
        </w:rPr>
        <w:t xml:space="preserve">does not </w:t>
      </w:r>
      <w:r w:rsidRPr="003426F5">
        <w:rPr>
          <w:lang w:val="en-ZA"/>
        </w:rPr>
        <w:t>share information</w:t>
      </w:r>
    </w:p>
    <w:p w14:paraId="6C59CDA5" w14:textId="31188770" w:rsidR="00F319D2" w:rsidRPr="003426F5" w:rsidRDefault="00F319D2" w:rsidP="00420B1E">
      <w:pPr>
        <w:pStyle w:val="ListParagraph"/>
        <w:numPr>
          <w:ilvl w:val="1"/>
          <w:numId w:val="3"/>
        </w:numPr>
        <w:rPr>
          <w:lang w:val="en-ZA"/>
        </w:rPr>
      </w:pPr>
      <w:r w:rsidRPr="003426F5">
        <w:rPr>
          <w:lang w:val="en-ZA"/>
        </w:rPr>
        <w:t xml:space="preserve">Counsellors should normalise TOP and the experience of having a TOP as a reproductive health right. Negative discussions about TOP should be avoided - for example, if </w:t>
      </w:r>
      <w:r w:rsidR="007E04D7">
        <w:rPr>
          <w:lang w:val="en-ZA"/>
        </w:rPr>
        <w:t>individual</w:t>
      </w:r>
      <w:r w:rsidRPr="003426F5">
        <w:rPr>
          <w:lang w:val="en-ZA"/>
        </w:rPr>
        <w:t>s bring up their own religious beliefs, counsellors should dispel fears witho</w:t>
      </w:r>
      <w:r w:rsidR="0058413D">
        <w:rPr>
          <w:lang w:val="en-ZA"/>
        </w:rPr>
        <w:t>ut judgement</w:t>
      </w:r>
    </w:p>
    <w:p w14:paraId="4C332E7F" w14:textId="39B31EAD" w:rsidR="00F319D2" w:rsidRPr="003426F5" w:rsidRDefault="00F319D2" w:rsidP="00420B1E">
      <w:pPr>
        <w:pStyle w:val="ListParagraph"/>
        <w:numPr>
          <w:ilvl w:val="1"/>
          <w:numId w:val="3"/>
        </w:numPr>
        <w:rPr>
          <w:lang w:val="en-ZA"/>
        </w:rPr>
      </w:pPr>
      <w:r w:rsidRPr="003426F5">
        <w:rPr>
          <w:lang w:val="en-ZA"/>
        </w:rPr>
        <w:t xml:space="preserve">Counsellors should only deal with content and topics which </w:t>
      </w:r>
      <w:r w:rsidR="007E04D7">
        <w:rPr>
          <w:lang w:val="en-ZA"/>
        </w:rPr>
        <w:t>individual</w:t>
      </w:r>
      <w:r w:rsidRPr="003426F5">
        <w:rPr>
          <w:lang w:val="en-ZA"/>
        </w:rPr>
        <w:t>s wish to discuss (this does not apply to accurate medical information about the procedure as this is required for informed consent to proceed with the TOP)</w:t>
      </w:r>
    </w:p>
    <w:p w14:paraId="77DCE1C6" w14:textId="77777777" w:rsidR="00820247" w:rsidRDefault="00820247" w:rsidP="00F319D2">
      <w:bookmarkStart w:id="58" w:name="_Toc525688593"/>
    </w:p>
    <w:p w14:paraId="628BAC34" w14:textId="1D76F68B" w:rsidR="00F319D2" w:rsidRPr="00820247" w:rsidRDefault="00F319D2" w:rsidP="00F319D2">
      <w:pPr>
        <w:rPr>
          <w:b/>
        </w:rPr>
      </w:pPr>
      <w:r w:rsidRPr="00820247">
        <w:rPr>
          <w:b/>
        </w:rPr>
        <w:t>Counselling topics</w:t>
      </w:r>
      <w:bookmarkEnd w:id="58"/>
    </w:p>
    <w:p w14:paraId="2939CDB9" w14:textId="3D4FE551" w:rsidR="00C02144" w:rsidRPr="00C02144" w:rsidRDefault="00C02144" w:rsidP="00F319D2">
      <w:r>
        <w:fldChar w:fldCharType="begin"/>
      </w:r>
      <w:r>
        <w:instrText xml:space="preserve"> REF _Ref531263927 \h </w:instrText>
      </w:r>
      <w:r>
        <w:fldChar w:fldCharType="separate"/>
      </w:r>
      <w:r>
        <w:t xml:space="preserve">Table </w:t>
      </w:r>
      <w:r>
        <w:rPr>
          <w:noProof/>
        </w:rPr>
        <w:t>3</w:t>
      </w:r>
      <w:r>
        <w:fldChar w:fldCharType="end"/>
      </w:r>
      <w:r>
        <w:t xml:space="preserve"> </w:t>
      </w:r>
      <w:r w:rsidR="00F319D2" w:rsidRPr="00C02144">
        <w:t xml:space="preserve">outlines the most important </w:t>
      </w:r>
      <w:r w:rsidRPr="00C02144">
        <w:t xml:space="preserve">counselling topics that should be offered to all pregnant </w:t>
      </w:r>
      <w:r w:rsidR="008410D2">
        <w:t xml:space="preserve">individuals </w:t>
      </w:r>
      <w:r w:rsidRPr="00C02144">
        <w:t>contemplating TOP.</w:t>
      </w:r>
      <w:r w:rsidR="00F319D2" w:rsidRPr="00C02144">
        <w:t xml:space="preserve"> </w:t>
      </w:r>
    </w:p>
    <w:p w14:paraId="78FAA0D3" w14:textId="77777777" w:rsidR="00C02144" w:rsidRDefault="00C02144" w:rsidP="00F319D2"/>
    <w:p w14:paraId="235A4094" w14:textId="2995F592" w:rsidR="00F319D2" w:rsidRDefault="00C02144" w:rsidP="00F319D2">
      <w:r>
        <w:rPr>
          <w:noProof/>
          <w:lang w:val="en-ZA" w:eastAsia="en-ZA"/>
        </w:rPr>
        <mc:AlternateContent>
          <mc:Choice Requires="wps">
            <w:drawing>
              <wp:inline distT="0" distB="0" distL="0" distR="0" wp14:anchorId="0E6A8661" wp14:editId="5C8821B3">
                <wp:extent cx="1828800" cy="1828800"/>
                <wp:effectExtent l="0" t="0" r="6350" b="2540"/>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4BC8741E" w14:textId="3D15E2E8" w:rsidR="003351E3" w:rsidRPr="008410D2" w:rsidRDefault="003351E3" w:rsidP="005F023E">
                            <w:pPr>
                              <w:jc w:val="center"/>
                              <w:rPr>
                                <w:b/>
                                <w:szCs w:val="20"/>
                              </w:rPr>
                            </w:pPr>
                            <w:r w:rsidRPr="008410D2">
                              <w:rPr>
                                <w:b/>
                                <w:szCs w:val="20"/>
                              </w:rPr>
                              <w:t xml:space="preserve">Remember that counselling should only focus on each of these topics </w:t>
                            </w:r>
                            <w:r w:rsidRPr="008410D2">
                              <w:rPr>
                                <w:b/>
                                <w:i/>
                                <w:szCs w:val="20"/>
                              </w:rPr>
                              <w:t>if and when</w:t>
                            </w:r>
                            <w:r w:rsidRPr="008410D2">
                              <w:rPr>
                                <w:b/>
                                <w:szCs w:val="20"/>
                              </w:rPr>
                              <w:t xml:space="preserve"> the individual expresses a need to discuss it. Its content is dependent on the length of pregnancy and type of counselling needed by TOP individuals.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E6A8661" id="Text Box 8"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" fillcolor="#e2efd9 [665]" stroked="f" strokeweight=".5pt">
                <v:textbox style="mso-fit-shape-to-text:t">
                  <w:txbxContent>
                    <w:p w14:paraId="4BC8741E" w14:textId="3D15E2E8" w:rsidR="003351E3" w:rsidRPr="008410D2" w:rsidRDefault="003351E3" w:rsidP="005F023E">
                      <w:pPr>
                        <w:jc w:val="center"/>
                        <w:rPr>
                          <w:b/>
                          <w:szCs w:val="20"/>
                        </w:rPr>
                      </w:pPr>
                      <w:r w:rsidRPr="008410D2">
                        <w:rPr>
                          <w:b/>
                          <w:szCs w:val="20"/>
                        </w:rPr>
                        <w:t xml:space="preserve">Remember that counselling should only focus on each of these topics </w:t>
                      </w:r>
                      <w:r w:rsidRPr="008410D2">
                        <w:rPr>
                          <w:b/>
                          <w:i/>
                          <w:szCs w:val="20"/>
                        </w:rPr>
                        <w:t>if and when</w:t>
                      </w:r>
                      <w:r w:rsidRPr="008410D2">
                        <w:rPr>
                          <w:b/>
                          <w:szCs w:val="20"/>
                        </w:rPr>
                        <w:t xml:space="preserve"> the individual expresses a need to discuss it. Its content is dependent on the length of pregnancy and type of counselling needed by TOP individuals. </w:t>
                      </w:r>
                    </w:p>
                  </w:txbxContent>
                </v:textbox>
                <w10:anchorlock/>
              </v:shape>
            </w:pict>
          </mc:Fallback>
        </mc:AlternateContent>
      </w:r>
    </w:p>
    <w:p w14:paraId="3E7B1749" w14:textId="77777777" w:rsidR="00C02144" w:rsidRDefault="00C02144" w:rsidP="00F319D2"/>
    <w:p w14:paraId="6971D3F3" w14:textId="52460899" w:rsidR="00FD3A9A" w:rsidRPr="008410D2" w:rsidRDefault="00FD3A9A" w:rsidP="00FD3A9A">
      <w:pPr>
        <w:pStyle w:val="Caption"/>
        <w:keepNext/>
        <w:rPr>
          <w:sz w:val="20"/>
        </w:rPr>
      </w:pPr>
      <w:bookmarkStart w:id="59" w:name="_Ref531263927"/>
      <w:bookmarkStart w:id="60" w:name="_Toc8387221"/>
      <w:r w:rsidRPr="008410D2">
        <w:rPr>
          <w:sz w:val="20"/>
        </w:rPr>
        <w:t xml:space="preserve">Table </w:t>
      </w:r>
      <w:r w:rsidRPr="008410D2">
        <w:rPr>
          <w:sz w:val="20"/>
        </w:rPr>
        <w:fldChar w:fldCharType="begin"/>
      </w:r>
      <w:r w:rsidRPr="008410D2">
        <w:rPr>
          <w:sz w:val="20"/>
        </w:rPr>
        <w:instrText xml:space="preserve"> SEQ Table \* ARABIC </w:instrText>
      </w:r>
      <w:r w:rsidRPr="008410D2">
        <w:rPr>
          <w:sz w:val="20"/>
        </w:rPr>
        <w:fldChar w:fldCharType="separate"/>
      </w:r>
      <w:r w:rsidR="00183285" w:rsidRPr="008410D2">
        <w:rPr>
          <w:noProof/>
          <w:sz w:val="20"/>
        </w:rPr>
        <w:t>3</w:t>
      </w:r>
      <w:r w:rsidRPr="008410D2">
        <w:rPr>
          <w:sz w:val="20"/>
        </w:rPr>
        <w:fldChar w:fldCharType="end"/>
      </w:r>
      <w:bookmarkEnd w:id="59"/>
      <w:r w:rsidRPr="008410D2">
        <w:rPr>
          <w:sz w:val="20"/>
        </w:rPr>
        <w:t xml:space="preserve">. Types of counselling </w:t>
      </w:r>
      <w:r w:rsidR="00C02144" w:rsidRPr="008410D2">
        <w:rPr>
          <w:sz w:val="20"/>
        </w:rPr>
        <w:t>for pregnant women considering a TOP</w:t>
      </w:r>
      <w:bookmarkEnd w:id="60"/>
    </w:p>
    <w:tbl>
      <w:tblPr>
        <w:tblStyle w:val="TableGrid"/>
        <w:tblW w:w="0" w:type="auto"/>
        <w:tblLook w:val="04A0" w:firstRow="1" w:lastRow="0" w:firstColumn="1" w:lastColumn="0" w:noHBand="0" w:noVBand="1"/>
      </w:tblPr>
      <w:tblGrid>
        <w:gridCol w:w="3865"/>
        <w:gridCol w:w="5485"/>
      </w:tblGrid>
      <w:tr w:rsidR="00EF1EDB" w:rsidRPr="00EF1EDB" w14:paraId="09BF1D15" w14:textId="77777777" w:rsidTr="00EF1EDB">
        <w:tc>
          <w:tcPr>
            <w:tcW w:w="3865" w:type="dxa"/>
          </w:tcPr>
          <w:p w14:paraId="11AFACAF" w14:textId="03A32F90" w:rsidR="00EF1EDB" w:rsidRDefault="00E73364" w:rsidP="00EF1EDB">
            <w:pPr>
              <w:rPr>
                <w:b/>
                <w:i/>
                <w:iCs/>
                <w:sz w:val="20"/>
              </w:rPr>
            </w:pPr>
            <w:r>
              <w:rPr>
                <w:b/>
                <w:i/>
                <w:iCs/>
                <w:sz w:val="20"/>
              </w:rPr>
              <w:t>Decision Making C</w:t>
            </w:r>
            <w:r w:rsidR="00EF1EDB" w:rsidRPr="00EF1EDB">
              <w:rPr>
                <w:b/>
                <w:i/>
                <w:iCs/>
                <w:sz w:val="20"/>
              </w:rPr>
              <w:t>ounselling</w:t>
            </w:r>
          </w:p>
          <w:p w14:paraId="26644D4E" w14:textId="77777777" w:rsidR="00E73364" w:rsidRPr="00EF1EDB" w:rsidRDefault="00E73364" w:rsidP="00EF1EDB">
            <w:pPr>
              <w:rPr>
                <w:b/>
                <w:i/>
                <w:sz w:val="20"/>
              </w:rPr>
            </w:pPr>
          </w:p>
          <w:p w14:paraId="6DC1A699" w14:textId="77777777" w:rsidR="00E73364" w:rsidRDefault="00E73364" w:rsidP="00EF1EDB">
            <w:pPr>
              <w:rPr>
                <w:color w:val="000000" w:themeColor="text1"/>
                <w:sz w:val="20"/>
              </w:rPr>
            </w:pPr>
          </w:p>
          <w:p w14:paraId="0B61D853" w14:textId="34244040" w:rsidR="00EF1EDB" w:rsidRDefault="00EF1EDB" w:rsidP="00EF1EDB">
            <w:pPr>
              <w:rPr>
                <w:color w:val="000000" w:themeColor="text1"/>
                <w:sz w:val="20"/>
              </w:rPr>
            </w:pPr>
            <w:r w:rsidRPr="00EF1EDB">
              <w:rPr>
                <w:color w:val="000000" w:themeColor="text1"/>
                <w:sz w:val="20"/>
              </w:rPr>
              <w:t xml:space="preserve">This counselling is usually requested by </w:t>
            </w:r>
            <w:r w:rsidR="007E04D7">
              <w:rPr>
                <w:color w:val="000000" w:themeColor="text1"/>
                <w:sz w:val="20"/>
              </w:rPr>
              <w:t>individual</w:t>
            </w:r>
            <w:r w:rsidRPr="00EF1EDB">
              <w:rPr>
                <w:color w:val="000000" w:themeColor="text1"/>
                <w:sz w:val="20"/>
              </w:rPr>
              <w:t xml:space="preserve">s who have not made a final decision. It plays an important role in helping </w:t>
            </w:r>
            <w:r w:rsidR="007E04D7">
              <w:rPr>
                <w:color w:val="000000" w:themeColor="text1"/>
                <w:sz w:val="20"/>
              </w:rPr>
              <w:t>individual</w:t>
            </w:r>
            <w:r w:rsidRPr="00EF1EDB">
              <w:rPr>
                <w:color w:val="000000" w:themeColor="text1"/>
                <w:sz w:val="20"/>
              </w:rPr>
              <w:t xml:space="preserve">s consider all options and ensures a decision can be made without coercion. </w:t>
            </w:r>
          </w:p>
          <w:p w14:paraId="05164665" w14:textId="77777777" w:rsidR="00EF1EDB" w:rsidRDefault="00EF1EDB" w:rsidP="00EF1EDB">
            <w:pPr>
              <w:rPr>
                <w:color w:val="000000" w:themeColor="text1"/>
                <w:sz w:val="20"/>
              </w:rPr>
            </w:pPr>
          </w:p>
          <w:p w14:paraId="3EB1E7B8" w14:textId="274BAD90" w:rsidR="00EF1EDB" w:rsidRDefault="00EF1EDB" w:rsidP="00EF1EDB">
            <w:pPr>
              <w:rPr>
                <w:sz w:val="20"/>
              </w:rPr>
            </w:pPr>
            <w:r w:rsidRPr="00EF1EDB">
              <w:rPr>
                <w:color w:val="000000" w:themeColor="text1"/>
                <w:sz w:val="20"/>
              </w:rPr>
              <w:t xml:space="preserve">Many </w:t>
            </w:r>
            <w:r w:rsidR="007E04D7">
              <w:rPr>
                <w:color w:val="000000" w:themeColor="text1"/>
                <w:sz w:val="20"/>
              </w:rPr>
              <w:t>individual</w:t>
            </w:r>
            <w:r w:rsidRPr="00EF1EDB">
              <w:rPr>
                <w:color w:val="000000" w:themeColor="text1"/>
                <w:sz w:val="20"/>
              </w:rPr>
              <w:t xml:space="preserve">s may have already made a decision to have a TOP before visiting the facility. This decision should be </w:t>
            </w:r>
            <w:r w:rsidR="008410D2" w:rsidRPr="00EF1EDB">
              <w:rPr>
                <w:color w:val="000000" w:themeColor="text1"/>
                <w:sz w:val="20"/>
              </w:rPr>
              <w:t>respected,</w:t>
            </w:r>
            <w:r w:rsidRPr="00EF1EDB">
              <w:rPr>
                <w:color w:val="000000" w:themeColor="text1"/>
                <w:sz w:val="20"/>
              </w:rPr>
              <w:t xml:space="preserve"> and decision-making counselling should</w:t>
            </w:r>
            <w:r w:rsidR="005F023E">
              <w:rPr>
                <w:color w:val="000000" w:themeColor="text1"/>
                <w:sz w:val="20"/>
              </w:rPr>
              <w:t xml:space="preserve"> focus on ensuring the individual has made their decision based on accurate, non-directive information. </w:t>
            </w:r>
            <w:r w:rsidRPr="00EF1EDB">
              <w:rPr>
                <w:color w:val="000000" w:themeColor="text1"/>
                <w:sz w:val="20"/>
              </w:rPr>
              <w:t xml:space="preserve"> </w:t>
            </w:r>
          </w:p>
          <w:p w14:paraId="60F85EB0" w14:textId="77777777" w:rsidR="00EF1EDB" w:rsidRDefault="00EF1EDB" w:rsidP="00EF1EDB">
            <w:pPr>
              <w:rPr>
                <w:sz w:val="20"/>
              </w:rPr>
            </w:pPr>
          </w:p>
          <w:p w14:paraId="3DF84799" w14:textId="289DE0A4" w:rsidR="00EF1EDB" w:rsidRPr="00EF1EDB" w:rsidRDefault="00EF1EDB" w:rsidP="00EF1EDB">
            <w:pPr>
              <w:rPr>
                <w:color w:val="000000" w:themeColor="text1"/>
                <w:sz w:val="20"/>
                <w:szCs w:val="28"/>
              </w:rPr>
            </w:pPr>
            <w:r w:rsidRPr="00EF1EDB">
              <w:rPr>
                <w:sz w:val="20"/>
              </w:rPr>
              <w:t xml:space="preserve">Should minors not want to consult an adult, services </w:t>
            </w:r>
            <w:r w:rsidR="008410D2">
              <w:rPr>
                <w:sz w:val="20"/>
              </w:rPr>
              <w:t>should proceed</w:t>
            </w:r>
            <w:r w:rsidRPr="00EF1EDB">
              <w:rPr>
                <w:sz w:val="20"/>
              </w:rPr>
              <w:t xml:space="preserve"> without </w:t>
            </w:r>
            <w:r w:rsidRPr="00EF1EDB">
              <w:rPr>
                <w:color w:val="000000" w:themeColor="text1"/>
                <w:sz w:val="20"/>
              </w:rPr>
              <w:t>delay, otherwise this would be legally understood</w:t>
            </w:r>
            <w:r w:rsidR="005C4FA4">
              <w:rPr>
                <w:color w:val="000000" w:themeColor="text1"/>
                <w:sz w:val="20"/>
              </w:rPr>
              <w:t xml:space="preserve"> as an enforced waiting period and is in violation of the CTOP Act. </w:t>
            </w:r>
          </w:p>
          <w:p w14:paraId="123F862D" w14:textId="77777777" w:rsidR="00EF1EDB" w:rsidRPr="00EF1EDB" w:rsidRDefault="00EF1EDB" w:rsidP="00EF1EDB">
            <w:pPr>
              <w:rPr>
                <w:i/>
                <w:iCs/>
                <w:sz w:val="20"/>
              </w:rPr>
            </w:pPr>
          </w:p>
        </w:tc>
        <w:tc>
          <w:tcPr>
            <w:tcW w:w="5485" w:type="dxa"/>
          </w:tcPr>
          <w:p w14:paraId="0FD8964A" w14:textId="529D924D" w:rsidR="00EF1EDB" w:rsidRDefault="00E73364" w:rsidP="00EF1EDB">
            <w:pPr>
              <w:rPr>
                <w:b/>
                <w:color w:val="FF0000"/>
                <w:sz w:val="20"/>
              </w:rPr>
            </w:pPr>
            <w:r w:rsidRPr="00442DE9">
              <w:rPr>
                <w:b/>
                <w:color w:val="000000" w:themeColor="text1"/>
                <w:sz w:val="20"/>
              </w:rPr>
              <w:t>T</w:t>
            </w:r>
            <w:r w:rsidR="00EF1EDB" w:rsidRPr="00E73364">
              <w:rPr>
                <w:b/>
                <w:color w:val="000000" w:themeColor="text1"/>
                <w:sz w:val="20"/>
              </w:rPr>
              <w:t>he following should be prov</w:t>
            </w:r>
            <w:r>
              <w:rPr>
                <w:b/>
                <w:color w:val="000000" w:themeColor="text1"/>
                <w:sz w:val="20"/>
              </w:rPr>
              <w:t>ided during Decision-Making C</w:t>
            </w:r>
            <w:r w:rsidR="00EF1EDB" w:rsidRPr="00E73364">
              <w:rPr>
                <w:b/>
                <w:color w:val="000000" w:themeColor="text1"/>
                <w:sz w:val="20"/>
              </w:rPr>
              <w:t xml:space="preserve">ounselling:  </w:t>
            </w:r>
            <w:r w:rsidR="00EF1EDB" w:rsidRPr="00E73364">
              <w:rPr>
                <w:b/>
                <w:color w:val="FF0000"/>
                <w:sz w:val="20"/>
              </w:rPr>
              <w:t xml:space="preserve">  </w:t>
            </w:r>
          </w:p>
          <w:p w14:paraId="02027A8E" w14:textId="77777777" w:rsidR="00E73364" w:rsidRPr="00E73364" w:rsidRDefault="00E73364" w:rsidP="00EF1EDB">
            <w:pPr>
              <w:rPr>
                <w:b/>
                <w:color w:val="000000" w:themeColor="text1"/>
                <w:sz w:val="20"/>
              </w:rPr>
            </w:pPr>
          </w:p>
          <w:p w14:paraId="49D9288F" w14:textId="0D532143" w:rsidR="00B75006" w:rsidRDefault="00B75006" w:rsidP="008D431E">
            <w:pPr>
              <w:pStyle w:val="ListParagraph"/>
              <w:numPr>
                <w:ilvl w:val="0"/>
                <w:numId w:val="10"/>
              </w:numPr>
              <w:rPr>
                <w:sz w:val="20"/>
                <w:szCs w:val="20"/>
              </w:rPr>
            </w:pPr>
            <w:r>
              <w:rPr>
                <w:sz w:val="20"/>
                <w:szCs w:val="20"/>
              </w:rPr>
              <w:t xml:space="preserve">The TOP method options (e.g. medication, MVA). </w:t>
            </w:r>
            <w:r w:rsidRPr="00EF1EDB">
              <w:rPr>
                <w:sz w:val="20"/>
              </w:rPr>
              <w:t>Counsellors can show the medication and</w:t>
            </w:r>
            <w:r>
              <w:rPr>
                <w:sz w:val="20"/>
              </w:rPr>
              <w:t>/or</w:t>
            </w:r>
            <w:r w:rsidRPr="00EF1EDB">
              <w:rPr>
                <w:sz w:val="20"/>
              </w:rPr>
              <w:t xml:space="preserve"> manual vacuum aspiration (MVA) apparatus to familiarise the </w:t>
            </w:r>
            <w:r>
              <w:rPr>
                <w:sz w:val="20"/>
              </w:rPr>
              <w:t>individual</w:t>
            </w:r>
            <w:r w:rsidRPr="00EF1EDB">
              <w:rPr>
                <w:sz w:val="20"/>
              </w:rPr>
              <w:t xml:space="preserve"> with the procedure and to allay any fears, concerns, or misinformation the </w:t>
            </w:r>
            <w:r>
              <w:rPr>
                <w:sz w:val="20"/>
              </w:rPr>
              <w:t>individual</w:t>
            </w:r>
            <w:r w:rsidRPr="00EF1EDB">
              <w:rPr>
                <w:sz w:val="20"/>
              </w:rPr>
              <w:t xml:space="preserve"> might have</w:t>
            </w:r>
          </w:p>
          <w:p w14:paraId="030A3D20" w14:textId="3C52A6E3" w:rsidR="00EF1EDB" w:rsidRPr="00EF1EDB" w:rsidRDefault="00EF1EDB" w:rsidP="008D431E">
            <w:pPr>
              <w:pStyle w:val="ListParagraph"/>
              <w:numPr>
                <w:ilvl w:val="0"/>
                <w:numId w:val="10"/>
              </w:numPr>
              <w:rPr>
                <w:sz w:val="20"/>
                <w:szCs w:val="20"/>
              </w:rPr>
            </w:pPr>
            <w:r w:rsidRPr="00EF1EDB">
              <w:rPr>
                <w:sz w:val="20"/>
                <w:szCs w:val="20"/>
              </w:rPr>
              <w:t>What will be done during and after the procedure</w:t>
            </w:r>
          </w:p>
          <w:p w14:paraId="3AD7967E" w14:textId="357C3575" w:rsidR="00EF1EDB" w:rsidRPr="00EF1EDB" w:rsidRDefault="005C4FA4" w:rsidP="008D431E">
            <w:pPr>
              <w:pStyle w:val="ListParagraph"/>
              <w:numPr>
                <w:ilvl w:val="0"/>
                <w:numId w:val="10"/>
              </w:numPr>
              <w:rPr>
                <w:sz w:val="20"/>
                <w:szCs w:val="20"/>
              </w:rPr>
            </w:pPr>
            <w:r>
              <w:rPr>
                <w:sz w:val="20"/>
                <w:szCs w:val="20"/>
              </w:rPr>
              <w:t>What is</w:t>
            </w:r>
            <w:r w:rsidR="00EF1EDB" w:rsidRPr="00EF1EDB">
              <w:rPr>
                <w:sz w:val="20"/>
                <w:szCs w:val="20"/>
              </w:rPr>
              <w:t xml:space="preserve"> likely to </w:t>
            </w:r>
            <w:r>
              <w:rPr>
                <w:sz w:val="20"/>
                <w:szCs w:val="20"/>
              </w:rPr>
              <w:t xml:space="preserve">be </w:t>
            </w:r>
            <w:r w:rsidR="00EF1EDB" w:rsidRPr="00EF1EDB">
              <w:rPr>
                <w:sz w:val="20"/>
                <w:szCs w:val="20"/>
              </w:rPr>
              <w:t>experience</w:t>
            </w:r>
            <w:r>
              <w:rPr>
                <w:sz w:val="20"/>
                <w:szCs w:val="20"/>
              </w:rPr>
              <w:t>d</w:t>
            </w:r>
            <w:r w:rsidR="00EF1EDB" w:rsidRPr="00EF1EDB">
              <w:rPr>
                <w:sz w:val="20"/>
                <w:szCs w:val="20"/>
              </w:rPr>
              <w:t xml:space="preserve"> (e.g. menstrual-like cramps, pain</w:t>
            </w:r>
            <w:r w:rsidR="00EF1EDB">
              <w:rPr>
                <w:sz w:val="20"/>
                <w:szCs w:val="20"/>
              </w:rPr>
              <w:t>,</w:t>
            </w:r>
            <w:r w:rsidR="00EF1EDB" w:rsidRPr="00EF1EDB">
              <w:rPr>
                <w:sz w:val="20"/>
                <w:szCs w:val="20"/>
              </w:rPr>
              <w:t xml:space="preserve"> and bleeding)</w:t>
            </w:r>
          </w:p>
          <w:p w14:paraId="7BB53D82" w14:textId="77777777" w:rsidR="00EF1EDB" w:rsidRPr="00EF1EDB" w:rsidRDefault="00EF1EDB" w:rsidP="008D431E">
            <w:pPr>
              <w:pStyle w:val="ListParagraph"/>
              <w:numPr>
                <w:ilvl w:val="0"/>
                <w:numId w:val="10"/>
              </w:numPr>
              <w:rPr>
                <w:sz w:val="20"/>
                <w:szCs w:val="20"/>
              </w:rPr>
            </w:pPr>
            <w:r w:rsidRPr="00EF1EDB">
              <w:rPr>
                <w:sz w:val="20"/>
                <w:szCs w:val="20"/>
              </w:rPr>
              <w:t>How long the process is likely to take</w:t>
            </w:r>
          </w:p>
          <w:p w14:paraId="73059DFB" w14:textId="4D524568" w:rsidR="00EF1EDB" w:rsidRPr="00EF1EDB" w:rsidRDefault="00EF1EDB" w:rsidP="008D431E">
            <w:pPr>
              <w:pStyle w:val="ListParagraph"/>
              <w:numPr>
                <w:ilvl w:val="0"/>
                <w:numId w:val="10"/>
              </w:numPr>
              <w:rPr>
                <w:sz w:val="20"/>
                <w:szCs w:val="20"/>
              </w:rPr>
            </w:pPr>
            <w:r w:rsidRPr="00EF1EDB">
              <w:rPr>
                <w:sz w:val="20"/>
                <w:szCs w:val="20"/>
              </w:rPr>
              <w:t xml:space="preserve">What pain management will be made available </w:t>
            </w:r>
          </w:p>
          <w:p w14:paraId="398AACD5" w14:textId="77777777" w:rsidR="00EF1EDB" w:rsidRPr="00EF1EDB" w:rsidRDefault="00EF1EDB" w:rsidP="008D431E">
            <w:pPr>
              <w:pStyle w:val="ListParagraph"/>
              <w:numPr>
                <w:ilvl w:val="0"/>
                <w:numId w:val="10"/>
              </w:numPr>
              <w:rPr>
                <w:sz w:val="20"/>
                <w:szCs w:val="20"/>
              </w:rPr>
            </w:pPr>
            <w:r w:rsidRPr="00EF1EDB">
              <w:rPr>
                <w:sz w:val="20"/>
                <w:szCs w:val="20"/>
              </w:rPr>
              <w:t>Risks and complications associated with the TOP method</w:t>
            </w:r>
          </w:p>
          <w:p w14:paraId="18152A98" w14:textId="0B96B335" w:rsidR="00EF1EDB" w:rsidRPr="00EF1EDB" w:rsidRDefault="005C4FA4" w:rsidP="008D431E">
            <w:pPr>
              <w:pStyle w:val="ListParagraph"/>
              <w:numPr>
                <w:ilvl w:val="0"/>
                <w:numId w:val="10"/>
              </w:numPr>
              <w:rPr>
                <w:sz w:val="20"/>
                <w:szCs w:val="20"/>
              </w:rPr>
            </w:pPr>
            <w:r>
              <w:rPr>
                <w:sz w:val="20"/>
                <w:szCs w:val="20"/>
              </w:rPr>
              <w:t>When the individual will be able to resume their</w:t>
            </w:r>
            <w:r w:rsidR="00EF1EDB" w:rsidRPr="00EF1EDB">
              <w:rPr>
                <w:sz w:val="20"/>
                <w:szCs w:val="20"/>
              </w:rPr>
              <w:t xml:space="preserve"> normal activities, including sexual intercourse</w:t>
            </w:r>
          </w:p>
          <w:p w14:paraId="7F0FBA12" w14:textId="571E926E" w:rsidR="00EF1EDB" w:rsidRPr="00EF1EDB" w:rsidRDefault="00EF1EDB" w:rsidP="008D431E">
            <w:pPr>
              <w:pStyle w:val="ListParagraph"/>
              <w:numPr>
                <w:ilvl w:val="0"/>
                <w:numId w:val="10"/>
              </w:numPr>
              <w:rPr>
                <w:sz w:val="20"/>
                <w:szCs w:val="20"/>
              </w:rPr>
            </w:pPr>
            <w:r w:rsidRPr="00EF1EDB">
              <w:rPr>
                <w:sz w:val="20"/>
                <w:szCs w:val="20"/>
              </w:rPr>
              <w:t>Any follow-up care</w:t>
            </w:r>
          </w:p>
          <w:p w14:paraId="6624CC4D" w14:textId="5D9F249E" w:rsidR="00820205" w:rsidRPr="00EF1EDB" w:rsidRDefault="00820205" w:rsidP="00EF1EDB">
            <w:pPr>
              <w:rPr>
                <w:sz w:val="20"/>
              </w:rPr>
            </w:pPr>
          </w:p>
          <w:p w14:paraId="2A0B2CB6" w14:textId="5ED0178E" w:rsidR="00EF1EDB" w:rsidRPr="00FD3A9A" w:rsidRDefault="00EF1EDB" w:rsidP="00EF1EDB">
            <w:pPr>
              <w:rPr>
                <w:color w:val="000000" w:themeColor="text1"/>
                <w:sz w:val="20"/>
              </w:rPr>
            </w:pPr>
            <w:r w:rsidRPr="00EF1EDB">
              <w:rPr>
                <w:color w:val="000000" w:themeColor="text1"/>
                <w:sz w:val="20"/>
              </w:rPr>
              <w:t xml:space="preserve">If the </w:t>
            </w:r>
            <w:r w:rsidR="007E04D7">
              <w:rPr>
                <w:color w:val="000000" w:themeColor="text1"/>
                <w:sz w:val="20"/>
              </w:rPr>
              <w:t>individual</w:t>
            </w:r>
            <w:r w:rsidRPr="00EF1EDB">
              <w:rPr>
                <w:color w:val="000000" w:themeColor="text1"/>
                <w:sz w:val="20"/>
              </w:rPr>
              <w:t xml:space="preserve"> chooses to proceed with TOP, the </w:t>
            </w:r>
            <w:r w:rsidR="00764BE6">
              <w:rPr>
                <w:color w:val="000000" w:themeColor="text1"/>
                <w:sz w:val="20"/>
              </w:rPr>
              <w:t>health care</w:t>
            </w:r>
            <w:r w:rsidR="00820205">
              <w:rPr>
                <w:color w:val="000000" w:themeColor="text1"/>
                <w:sz w:val="20"/>
              </w:rPr>
              <w:t xml:space="preserve"> </w:t>
            </w:r>
            <w:r w:rsidR="005C4FA4">
              <w:rPr>
                <w:color w:val="000000" w:themeColor="text1"/>
                <w:sz w:val="20"/>
              </w:rPr>
              <w:t xml:space="preserve">professional </w:t>
            </w:r>
            <w:r w:rsidRPr="00EF1EDB">
              <w:rPr>
                <w:color w:val="000000" w:themeColor="text1"/>
                <w:sz w:val="20"/>
              </w:rPr>
              <w:t xml:space="preserve">should inform the </w:t>
            </w:r>
            <w:r w:rsidR="007E04D7">
              <w:rPr>
                <w:color w:val="000000" w:themeColor="text1"/>
                <w:sz w:val="20"/>
              </w:rPr>
              <w:t>individual</w:t>
            </w:r>
            <w:r w:rsidR="005C4FA4">
              <w:rPr>
                <w:color w:val="000000" w:themeColor="text1"/>
                <w:sz w:val="20"/>
              </w:rPr>
              <w:t xml:space="preserve"> of their </w:t>
            </w:r>
            <w:r w:rsidRPr="00EF1EDB">
              <w:rPr>
                <w:color w:val="000000" w:themeColor="text1"/>
                <w:sz w:val="20"/>
              </w:rPr>
              <w:t>rights</w:t>
            </w:r>
            <w:r w:rsidR="00820205">
              <w:rPr>
                <w:color w:val="000000" w:themeColor="text1"/>
                <w:sz w:val="20"/>
              </w:rPr>
              <w:t xml:space="preserve">. </w:t>
            </w:r>
            <w:r w:rsidRPr="00EF1EDB">
              <w:rPr>
                <w:color w:val="000000" w:themeColor="text1"/>
                <w:sz w:val="20"/>
              </w:rPr>
              <w:t xml:space="preserve">The </w:t>
            </w:r>
            <w:r w:rsidR="007E04D7">
              <w:rPr>
                <w:color w:val="000000" w:themeColor="text1"/>
                <w:sz w:val="20"/>
              </w:rPr>
              <w:t>individual</w:t>
            </w:r>
            <w:r w:rsidRPr="00EF1EDB">
              <w:rPr>
                <w:color w:val="000000" w:themeColor="text1"/>
                <w:sz w:val="20"/>
              </w:rPr>
              <w:t xml:space="preserve"> sho</w:t>
            </w:r>
            <w:r w:rsidR="005C4FA4">
              <w:rPr>
                <w:color w:val="000000" w:themeColor="text1"/>
                <w:sz w:val="20"/>
              </w:rPr>
              <w:t xml:space="preserve">uld be given as much time as is needed to make a decision and </w:t>
            </w:r>
            <w:r w:rsidRPr="00EF1EDB">
              <w:rPr>
                <w:color w:val="000000" w:themeColor="text1"/>
                <w:sz w:val="20"/>
              </w:rPr>
              <w:t>given information on the advantages of TOP at an earlier gestational age.</w:t>
            </w:r>
          </w:p>
        </w:tc>
      </w:tr>
      <w:tr w:rsidR="00EF1EDB" w:rsidRPr="00EF1EDB" w14:paraId="0D27E26E" w14:textId="77777777" w:rsidTr="00EF1EDB">
        <w:tc>
          <w:tcPr>
            <w:tcW w:w="3865" w:type="dxa"/>
          </w:tcPr>
          <w:p w14:paraId="497B3271" w14:textId="27D4ACBF" w:rsidR="003C1269" w:rsidRDefault="003C1269" w:rsidP="003C1269">
            <w:pPr>
              <w:rPr>
                <w:b/>
                <w:i/>
                <w:sz w:val="20"/>
              </w:rPr>
            </w:pPr>
            <w:r w:rsidRPr="003C1269">
              <w:rPr>
                <w:b/>
                <w:i/>
                <w:sz w:val="20"/>
              </w:rPr>
              <w:t>Pre-TOP</w:t>
            </w:r>
            <w:r w:rsidR="00E73364">
              <w:rPr>
                <w:b/>
                <w:i/>
                <w:sz w:val="20"/>
              </w:rPr>
              <w:t xml:space="preserve"> C</w:t>
            </w:r>
            <w:r w:rsidRPr="003C1269">
              <w:rPr>
                <w:b/>
                <w:i/>
                <w:sz w:val="20"/>
              </w:rPr>
              <w:t>ounselling</w:t>
            </w:r>
          </w:p>
          <w:p w14:paraId="24F3D562" w14:textId="394DDAB5" w:rsidR="00E73364" w:rsidRDefault="00E73364" w:rsidP="003C1269">
            <w:pPr>
              <w:rPr>
                <w:b/>
                <w:i/>
                <w:sz w:val="20"/>
              </w:rPr>
            </w:pPr>
          </w:p>
          <w:p w14:paraId="7ACC1DE1" w14:textId="77777777" w:rsidR="00E73364" w:rsidRPr="003C1269" w:rsidRDefault="00E73364" w:rsidP="003C1269">
            <w:pPr>
              <w:rPr>
                <w:i/>
              </w:rPr>
            </w:pPr>
          </w:p>
          <w:p w14:paraId="164AF60A" w14:textId="1B3DB941" w:rsidR="003C1269" w:rsidRPr="003C1269" w:rsidRDefault="003C1269" w:rsidP="003C1269">
            <w:pPr>
              <w:rPr>
                <w:color w:val="000000" w:themeColor="text1"/>
                <w:sz w:val="20"/>
              </w:rPr>
            </w:pPr>
            <w:r w:rsidRPr="003C1269">
              <w:rPr>
                <w:color w:val="000000" w:themeColor="text1"/>
                <w:sz w:val="20"/>
              </w:rPr>
              <w:t xml:space="preserve">This type of counselling is for </w:t>
            </w:r>
            <w:r w:rsidR="007E04D7">
              <w:rPr>
                <w:color w:val="000000" w:themeColor="text1"/>
                <w:sz w:val="20"/>
              </w:rPr>
              <w:t>individual</w:t>
            </w:r>
            <w:r w:rsidRPr="003C1269">
              <w:rPr>
                <w:color w:val="000000" w:themeColor="text1"/>
                <w:sz w:val="20"/>
              </w:rPr>
              <w:t xml:space="preserve">s who want to know more about the details of the TOP procedure and which options are available for their gestational age. This counselling helps </w:t>
            </w:r>
            <w:r w:rsidR="007E04D7">
              <w:rPr>
                <w:color w:val="000000" w:themeColor="text1"/>
                <w:sz w:val="20"/>
              </w:rPr>
              <w:t>individual</w:t>
            </w:r>
            <w:r w:rsidRPr="003C1269">
              <w:rPr>
                <w:color w:val="000000" w:themeColor="text1"/>
                <w:sz w:val="20"/>
              </w:rPr>
              <w:t xml:space="preserve">s who need emotional support immediately prior to the procedure. </w:t>
            </w:r>
          </w:p>
          <w:p w14:paraId="03CB75BD" w14:textId="77777777" w:rsidR="00EF1EDB" w:rsidRPr="00EF1EDB" w:rsidRDefault="00EF1EDB" w:rsidP="00EF1EDB">
            <w:pPr>
              <w:rPr>
                <w:i/>
                <w:iCs/>
                <w:sz w:val="20"/>
              </w:rPr>
            </w:pPr>
          </w:p>
        </w:tc>
        <w:tc>
          <w:tcPr>
            <w:tcW w:w="5485" w:type="dxa"/>
          </w:tcPr>
          <w:p w14:paraId="23554A2E" w14:textId="75C38FD4" w:rsidR="003C1269" w:rsidRDefault="003C1269" w:rsidP="003C1269">
            <w:pPr>
              <w:rPr>
                <w:b/>
                <w:color w:val="000000" w:themeColor="text1"/>
                <w:sz w:val="20"/>
                <w:szCs w:val="20"/>
              </w:rPr>
            </w:pPr>
            <w:r w:rsidRPr="003C1269">
              <w:rPr>
                <w:b/>
                <w:color w:val="000000" w:themeColor="text1"/>
                <w:sz w:val="20"/>
                <w:szCs w:val="20"/>
              </w:rPr>
              <w:t>The following should be provided during pre-TOP counselling</w:t>
            </w:r>
            <w:r w:rsidR="00E73364">
              <w:rPr>
                <w:b/>
                <w:color w:val="000000" w:themeColor="text1"/>
                <w:sz w:val="20"/>
                <w:szCs w:val="20"/>
              </w:rPr>
              <w:t>, (if not covered under Decision-Making Counselling)</w:t>
            </w:r>
            <w:r w:rsidRPr="003C1269">
              <w:rPr>
                <w:b/>
                <w:color w:val="000000" w:themeColor="text1"/>
                <w:sz w:val="20"/>
                <w:szCs w:val="20"/>
              </w:rPr>
              <w:t xml:space="preserve">:  </w:t>
            </w:r>
          </w:p>
          <w:p w14:paraId="6A71B90A" w14:textId="77777777" w:rsidR="00E73364" w:rsidRPr="003C1269" w:rsidRDefault="00E73364" w:rsidP="003C1269">
            <w:pPr>
              <w:rPr>
                <w:b/>
                <w:color w:val="FF0000"/>
                <w:sz w:val="20"/>
                <w:szCs w:val="20"/>
              </w:rPr>
            </w:pPr>
          </w:p>
          <w:p w14:paraId="0F7CE03E" w14:textId="4774B876" w:rsidR="003C1269" w:rsidRDefault="003C1269" w:rsidP="008D431E">
            <w:pPr>
              <w:pStyle w:val="ListParagraph"/>
              <w:numPr>
                <w:ilvl w:val="0"/>
                <w:numId w:val="10"/>
              </w:numPr>
              <w:rPr>
                <w:sz w:val="20"/>
                <w:szCs w:val="20"/>
              </w:rPr>
            </w:pPr>
            <w:r w:rsidRPr="003C1269">
              <w:rPr>
                <w:sz w:val="20"/>
                <w:szCs w:val="20"/>
              </w:rPr>
              <w:t xml:space="preserve">The TOP methods and pain management options available to the </w:t>
            </w:r>
            <w:r w:rsidR="007E04D7">
              <w:rPr>
                <w:sz w:val="20"/>
                <w:szCs w:val="20"/>
              </w:rPr>
              <w:t>individual</w:t>
            </w:r>
            <w:r w:rsidRPr="003C1269">
              <w:rPr>
                <w:sz w:val="20"/>
                <w:szCs w:val="20"/>
              </w:rPr>
              <w:t xml:space="preserve"> before, during, and after the TOP</w:t>
            </w:r>
          </w:p>
          <w:p w14:paraId="1A0B9BC2" w14:textId="24A2D29A" w:rsidR="003C1269" w:rsidRPr="003C1269" w:rsidRDefault="003C1269" w:rsidP="008D431E">
            <w:pPr>
              <w:pStyle w:val="ListParagraph"/>
              <w:numPr>
                <w:ilvl w:val="0"/>
                <w:numId w:val="10"/>
              </w:numPr>
              <w:rPr>
                <w:sz w:val="20"/>
                <w:szCs w:val="20"/>
              </w:rPr>
            </w:pPr>
            <w:r w:rsidRPr="003C1269">
              <w:rPr>
                <w:sz w:val="20"/>
                <w:szCs w:val="20"/>
              </w:rPr>
              <w:t xml:space="preserve">Counsellors may show the medication and manual vacuum aspiration (MVA) apparatus to familiarise the </w:t>
            </w:r>
            <w:r w:rsidR="007E04D7">
              <w:rPr>
                <w:sz w:val="20"/>
                <w:szCs w:val="20"/>
              </w:rPr>
              <w:t>individual</w:t>
            </w:r>
            <w:r w:rsidRPr="003C1269">
              <w:rPr>
                <w:sz w:val="20"/>
                <w:szCs w:val="20"/>
              </w:rPr>
              <w:t xml:space="preserve"> with the procedure and to allay any fears, concerns, or misinformation the </w:t>
            </w:r>
            <w:r w:rsidR="007E04D7">
              <w:rPr>
                <w:sz w:val="20"/>
                <w:szCs w:val="20"/>
              </w:rPr>
              <w:t>individual</w:t>
            </w:r>
            <w:r w:rsidRPr="003C1269">
              <w:rPr>
                <w:sz w:val="20"/>
                <w:szCs w:val="20"/>
              </w:rPr>
              <w:t xml:space="preserve"> may have, provided the </w:t>
            </w:r>
            <w:r w:rsidR="007E04D7">
              <w:rPr>
                <w:sz w:val="20"/>
                <w:szCs w:val="20"/>
              </w:rPr>
              <w:t>individual</w:t>
            </w:r>
            <w:r w:rsidRPr="003C1269">
              <w:rPr>
                <w:sz w:val="20"/>
                <w:szCs w:val="20"/>
              </w:rPr>
              <w:t xml:space="preserve"> also consents to this</w:t>
            </w:r>
          </w:p>
          <w:p w14:paraId="4A631B2C" w14:textId="3AB99FF6" w:rsidR="003C1269" w:rsidRPr="003C1269" w:rsidRDefault="003C1269" w:rsidP="008D431E">
            <w:pPr>
              <w:pStyle w:val="ListParagraph"/>
              <w:numPr>
                <w:ilvl w:val="0"/>
                <w:numId w:val="10"/>
              </w:numPr>
              <w:rPr>
                <w:sz w:val="20"/>
                <w:szCs w:val="20"/>
              </w:rPr>
            </w:pPr>
            <w:r w:rsidRPr="003C1269">
              <w:rPr>
                <w:sz w:val="20"/>
                <w:szCs w:val="20"/>
              </w:rPr>
              <w:t xml:space="preserve">Initiate a discussion on future contraceptive needs and provide the necessary and accurate information on the availability of contraceptive options as per the National </w:t>
            </w:r>
            <w:r w:rsidR="007E1E90">
              <w:rPr>
                <w:sz w:val="20"/>
                <w:szCs w:val="20"/>
              </w:rPr>
              <w:t>Clinical Guideline for Contraception</w:t>
            </w:r>
            <w:r w:rsidR="00947049">
              <w:rPr>
                <w:sz w:val="20"/>
                <w:szCs w:val="20"/>
              </w:rPr>
              <w:t xml:space="preserve"> (2019)</w:t>
            </w:r>
          </w:p>
          <w:p w14:paraId="2F709599" w14:textId="06E013E1" w:rsidR="00EF1EDB" w:rsidRPr="003C1269" w:rsidRDefault="003C1269" w:rsidP="008D431E">
            <w:pPr>
              <w:pStyle w:val="ListParagraph"/>
              <w:numPr>
                <w:ilvl w:val="0"/>
                <w:numId w:val="10"/>
              </w:numPr>
              <w:rPr>
                <w:sz w:val="20"/>
                <w:szCs w:val="20"/>
              </w:rPr>
            </w:pPr>
            <w:r w:rsidRPr="003C1269">
              <w:rPr>
                <w:sz w:val="20"/>
                <w:szCs w:val="20"/>
              </w:rPr>
              <w:lastRenderedPageBreak/>
              <w:t xml:space="preserve">Inform the </w:t>
            </w:r>
            <w:r w:rsidR="007E04D7">
              <w:rPr>
                <w:sz w:val="20"/>
                <w:szCs w:val="20"/>
              </w:rPr>
              <w:t>individual</w:t>
            </w:r>
            <w:r w:rsidRPr="003C1269">
              <w:rPr>
                <w:sz w:val="20"/>
                <w:szCs w:val="20"/>
              </w:rPr>
              <w:t xml:space="preserve"> of available HIV counselling and testing services. Knowledge of one’s HIV status is </w:t>
            </w:r>
            <w:r w:rsidR="00442DE9">
              <w:rPr>
                <w:sz w:val="20"/>
                <w:szCs w:val="20"/>
              </w:rPr>
              <w:t>strongly recommended</w:t>
            </w:r>
            <w:r w:rsidRPr="003C1269">
              <w:rPr>
                <w:sz w:val="20"/>
                <w:szCs w:val="20"/>
              </w:rPr>
              <w:t xml:space="preserve"> but not a pre-requisite to receive </w:t>
            </w:r>
            <w:r>
              <w:rPr>
                <w:sz w:val="20"/>
                <w:szCs w:val="20"/>
              </w:rPr>
              <w:t>TOP</w:t>
            </w:r>
          </w:p>
        </w:tc>
      </w:tr>
      <w:tr w:rsidR="00EF1EDB" w:rsidRPr="00EF1EDB" w14:paraId="5EB4157D" w14:textId="77777777" w:rsidTr="00EF1EDB">
        <w:tc>
          <w:tcPr>
            <w:tcW w:w="3865" w:type="dxa"/>
          </w:tcPr>
          <w:p w14:paraId="22CF48F9" w14:textId="2C6DD1BC" w:rsidR="00FD3A9A" w:rsidRPr="00FD3A9A" w:rsidRDefault="00E73364" w:rsidP="00FD3A9A">
            <w:pPr>
              <w:rPr>
                <w:b/>
                <w:i/>
                <w:sz w:val="20"/>
              </w:rPr>
            </w:pPr>
            <w:r>
              <w:rPr>
                <w:b/>
                <w:i/>
                <w:iCs/>
                <w:sz w:val="20"/>
              </w:rPr>
              <w:lastRenderedPageBreak/>
              <w:t>Post-TOP C</w:t>
            </w:r>
            <w:r w:rsidR="00FD3A9A" w:rsidRPr="00FD3A9A">
              <w:rPr>
                <w:b/>
                <w:i/>
                <w:iCs/>
                <w:sz w:val="20"/>
              </w:rPr>
              <w:t>ounselling</w:t>
            </w:r>
          </w:p>
          <w:p w14:paraId="227D0184" w14:textId="77777777" w:rsidR="00E73364" w:rsidRDefault="00E73364" w:rsidP="00EF1EDB">
            <w:pPr>
              <w:rPr>
                <w:sz w:val="20"/>
              </w:rPr>
            </w:pPr>
          </w:p>
          <w:p w14:paraId="4E265340" w14:textId="4A9DCAE1" w:rsidR="00EF1EDB" w:rsidRPr="00FD3A9A" w:rsidRDefault="00FD3A9A" w:rsidP="00EF1EDB">
            <w:pPr>
              <w:rPr>
                <w:sz w:val="20"/>
              </w:rPr>
            </w:pPr>
            <w:r w:rsidRPr="00FD3A9A">
              <w:rPr>
                <w:sz w:val="20"/>
              </w:rPr>
              <w:t xml:space="preserve">This counselling option outlines the available support and steps to follow after the TOP procedure. </w:t>
            </w:r>
          </w:p>
        </w:tc>
        <w:tc>
          <w:tcPr>
            <w:tcW w:w="5485" w:type="dxa"/>
          </w:tcPr>
          <w:p w14:paraId="06667BB2" w14:textId="30AFEE62" w:rsidR="00FD3A9A" w:rsidRDefault="00FD3A9A" w:rsidP="00FD3A9A">
            <w:pPr>
              <w:rPr>
                <w:b/>
                <w:color w:val="000000" w:themeColor="text1"/>
                <w:sz w:val="20"/>
                <w:szCs w:val="20"/>
              </w:rPr>
            </w:pPr>
            <w:r w:rsidRPr="00E73364">
              <w:rPr>
                <w:b/>
                <w:color w:val="000000" w:themeColor="text1"/>
                <w:sz w:val="20"/>
                <w:szCs w:val="20"/>
              </w:rPr>
              <w:t xml:space="preserve">The following should be provided during post-TOP </w:t>
            </w:r>
            <w:r w:rsidR="00E73364">
              <w:rPr>
                <w:b/>
                <w:color w:val="000000" w:themeColor="text1"/>
                <w:sz w:val="20"/>
                <w:szCs w:val="20"/>
              </w:rPr>
              <w:t>C</w:t>
            </w:r>
            <w:r w:rsidRPr="00E73364">
              <w:rPr>
                <w:b/>
                <w:color w:val="000000" w:themeColor="text1"/>
                <w:sz w:val="20"/>
                <w:szCs w:val="20"/>
              </w:rPr>
              <w:t>ounselling:</w:t>
            </w:r>
          </w:p>
          <w:p w14:paraId="6858FFBD" w14:textId="77777777" w:rsidR="00E73364" w:rsidRPr="00E73364" w:rsidRDefault="00E73364" w:rsidP="00FD3A9A">
            <w:pPr>
              <w:rPr>
                <w:b/>
                <w:color w:val="000000" w:themeColor="text1"/>
                <w:sz w:val="20"/>
                <w:szCs w:val="20"/>
              </w:rPr>
            </w:pPr>
          </w:p>
          <w:p w14:paraId="24A422B3" w14:textId="1D93DC7C" w:rsidR="00FD3A9A" w:rsidRPr="00FD3A9A" w:rsidRDefault="004F4291" w:rsidP="008D431E">
            <w:pPr>
              <w:pStyle w:val="ListParagraph"/>
              <w:numPr>
                <w:ilvl w:val="0"/>
                <w:numId w:val="10"/>
              </w:numPr>
              <w:rPr>
                <w:sz w:val="20"/>
                <w:szCs w:val="20"/>
              </w:rPr>
            </w:pPr>
            <w:r>
              <w:rPr>
                <w:sz w:val="20"/>
                <w:szCs w:val="20"/>
              </w:rPr>
              <w:t>C</w:t>
            </w:r>
            <w:r w:rsidR="00FD3A9A" w:rsidRPr="00FD3A9A">
              <w:rPr>
                <w:sz w:val="20"/>
                <w:szCs w:val="20"/>
              </w:rPr>
              <w:t>lear, simple, oral</w:t>
            </w:r>
            <w:r w:rsidR="00FD3A9A">
              <w:rPr>
                <w:sz w:val="20"/>
                <w:szCs w:val="20"/>
              </w:rPr>
              <w:t>,</w:t>
            </w:r>
            <w:r w:rsidR="00FD3A9A" w:rsidRPr="00FD3A9A">
              <w:rPr>
                <w:sz w:val="20"/>
                <w:szCs w:val="20"/>
              </w:rPr>
              <w:t xml:space="preserve"> and written instructions about follow-up c</w:t>
            </w:r>
            <w:r w:rsidR="00947049">
              <w:rPr>
                <w:sz w:val="20"/>
                <w:szCs w:val="20"/>
              </w:rPr>
              <w:t>are after leaving the facility</w:t>
            </w:r>
          </w:p>
          <w:p w14:paraId="47D3E7FF" w14:textId="6A49309D" w:rsidR="00FD3A9A" w:rsidRPr="00FD3A9A" w:rsidRDefault="00FD3A9A" w:rsidP="008D431E">
            <w:pPr>
              <w:pStyle w:val="ListParagraph"/>
              <w:numPr>
                <w:ilvl w:val="0"/>
                <w:numId w:val="10"/>
              </w:numPr>
              <w:rPr>
                <w:sz w:val="20"/>
                <w:szCs w:val="20"/>
              </w:rPr>
            </w:pPr>
            <w:r w:rsidRPr="00FD3A9A">
              <w:rPr>
                <w:sz w:val="20"/>
                <w:szCs w:val="20"/>
              </w:rPr>
              <w:t xml:space="preserve">Instructions should be given on </w:t>
            </w:r>
            <w:r>
              <w:rPr>
                <w:sz w:val="20"/>
                <w:szCs w:val="20"/>
              </w:rPr>
              <w:t>how to recognize</w:t>
            </w:r>
            <w:r w:rsidRPr="00FD3A9A">
              <w:rPr>
                <w:sz w:val="20"/>
                <w:szCs w:val="20"/>
              </w:rPr>
              <w:t xml:space="preserve"> complications that require medical attention, and w</w:t>
            </w:r>
            <w:r w:rsidR="00947049">
              <w:rPr>
                <w:sz w:val="20"/>
                <w:szCs w:val="20"/>
              </w:rPr>
              <w:t>here to seek help, if required</w:t>
            </w:r>
          </w:p>
          <w:p w14:paraId="563562C3" w14:textId="3C06D506" w:rsidR="00FD3A9A" w:rsidRDefault="00FD3A9A" w:rsidP="008D431E">
            <w:pPr>
              <w:pStyle w:val="ListParagraph"/>
              <w:numPr>
                <w:ilvl w:val="0"/>
                <w:numId w:val="10"/>
              </w:numPr>
              <w:rPr>
                <w:sz w:val="20"/>
                <w:szCs w:val="20"/>
              </w:rPr>
            </w:pPr>
            <w:r w:rsidRPr="00FD3A9A">
              <w:rPr>
                <w:sz w:val="20"/>
                <w:szCs w:val="20"/>
              </w:rPr>
              <w:t>Offer a contraceptive method and prescription</w:t>
            </w:r>
            <w:r w:rsidR="0064369A">
              <w:rPr>
                <w:sz w:val="20"/>
                <w:szCs w:val="20"/>
              </w:rPr>
              <w:t xml:space="preserve"> or referral for methods that require provider placement</w:t>
            </w:r>
            <w:r w:rsidR="00E73364">
              <w:rPr>
                <w:sz w:val="20"/>
                <w:szCs w:val="20"/>
              </w:rPr>
              <w:t>,</w:t>
            </w:r>
            <w:r w:rsidRPr="00FD3A9A">
              <w:rPr>
                <w:sz w:val="20"/>
                <w:szCs w:val="20"/>
              </w:rPr>
              <w:t xml:space="preserve"> if requested by the </w:t>
            </w:r>
            <w:r w:rsidR="007E04D7">
              <w:rPr>
                <w:sz w:val="20"/>
                <w:szCs w:val="20"/>
              </w:rPr>
              <w:t>individual</w:t>
            </w:r>
            <w:r w:rsidRPr="00FD3A9A">
              <w:rPr>
                <w:sz w:val="20"/>
                <w:szCs w:val="20"/>
              </w:rPr>
              <w:t xml:space="preserve"> (this should </w:t>
            </w:r>
            <w:r w:rsidR="00E73364">
              <w:rPr>
                <w:sz w:val="20"/>
                <w:szCs w:val="20"/>
              </w:rPr>
              <w:t>be encouraged, but not imposed by the</w:t>
            </w:r>
            <w:r w:rsidRPr="00FD3A9A">
              <w:rPr>
                <w:sz w:val="20"/>
                <w:szCs w:val="20"/>
              </w:rPr>
              <w:t xml:space="preserve"> provider): </w:t>
            </w:r>
          </w:p>
          <w:p w14:paraId="24D7BA66" w14:textId="2A386B4A" w:rsidR="00FD3A9A" w:rsidRPr="00FD3A9A" w:rsidRDefault="00FD3A9A" w:rsidP="008D431E">
            <w:pPr>
              <w:pStyle w:val="ListParagraph"/>
              <w:numPr>
                <w:ilvl w:val="1"/>
                <w:numId w:val="10"/>
              </w:numPr>
              <w:rPr>
                <w:sz w:val="20"/>
                <w:szCs w:val="20"/>
              </w:rPr>
            </w:pPr>
            <w:r w:rsidRPr="00FD3A9A">
              <w:rPr>
                <w:sz w:val="20"/>
                <w:szCs w:val="20"/>
              </w:rPr>
              <w:t xml:space="preserve">Fertility </w:t>
            </w:r>
            <w:r>
              <w:rPr>
                <w:sz w:val="20"/>
                <w:szCs w:val="20"/>
              </w:rPr>
              <w:t>can return</w:t>
            </w:r>
            <w:r w:rsidRPr="00FD3A9A">
              <w:rPr>
                <w:sz w:val="20"/>
                <w:szCs w:val="20"/>
              </w:rPr>
              <w:t xml:space="preserve"> </w:t>
            </w:r>
            <w:r w:rsidR="006A0BA1">
              <w:rPr>
                <w:sz w:val="20"/>
                <w:szCs w:val="20"/>
              </w:rPr>
              <w:t>up to 10 days</w:t>
            </w:r>
            <w:r w:rsidRPr="00FD3A9A">
              <w:rPr>
                <w:sz w:val="20"/>
                <w:szCs w:val="20"/>
              </w:rPr>
              <w:t xml:space="preserve"> after a first-trimester </w:t>
            </w:r>
            <w:r>
              <w:rPr>
                <w:sz w:val="20"/>
                <w:szCs w:val="20"/>
              </w:rPr>
              <w:t>TOP</w:t>
            </w:r>
            <w:r w:rsidRPr="00FD3A9A">
              <w:rPr>
                <w:sz w:val="20"/>
                <w:szCs w:val="20"/>
              </w:rPr>
              <w:t xml:space="preserve"> or miscarriage and within 4 weeks after a second-trimester </w:t>
            </w:r>
            <w:r>
              <w:rPr>
                <w:sz w:val="20"/>
                <w:szCs w:val="20"/>
              </w:rPr>
              <w:t>TOP</w:t>
            </w:r>
            <w:r w:rsidRPr="00FD3A9A">
              <w:rPr>
                <w:sz w:val="20"/>
                <w:szCs w:val="20"/>
              </w:rPr>
              <w:t xml:space="preserve"> or miscarriage</w:t>
            </w:r>
          </w:p>
          <w:p w14:paraId="03169FEB" w14:textId="14017CC3" w:rsidR="00FD3A9A" w:rsidRPr="00FD3A9A" w:rsidRDefault="00FD3A9A" w:rsidP="008D431E">
            <w:pPr>
              <w:pStyle w:val="ListParagraph"/>
              <w:numPr>
                <w:ilvl w:val="0"/>
                <w:numId w:val="10"/>
              </w:numPr>
              <w:rPr>
                <w:sz w:val="20"/>
                <w:szCs w:val="20"/>
              </w:rPr>
            </w:pPr>
            <w:r w:rsidRPr="00FD3A9A">
              <w:rPr>
                <w:sz w:val="20"/>
                <w:szCs w:val="20"/>
              </w:rPr>
              <w:t xml:space="preserve">Information on when the </w:t>
            </w:r>
            <w:r w:rsidR="007E04D7">
              <w:rPr>
                <w:sz w:val="20"/>
                <w:szCs w:val="20"/>
              </w:rPr>
              <w:t>individual</w:t>
            </w:r>
            <w:r w:rsidRPr="00FD3A9A">
              <w:rPr>
                <w:sz w:val="20"/>
                <w:szCs w:val="20"/>
              </w:rPr>
              <w:t xml:space="preserve"> will be able to resume normal activities, including sexual intercourse: </w:t>
            </w:r>
          </w:p>
          <w:p w14:paraId="2F54AE6B" w14:textId="20251C25" w:rsidR="00EF1EDB" w:rsidRPr="00FD3A9A" w:rsidRDefault="00FD3A9A" w:rsidP="008D431E">
            <w:pPr>
              <w:pStyle w:val="ListParagraph"/>
              <w:numPr>
                <w:ilvl w:val="1"/>
                <w:numId w:val="10"/>
              </w:numPr>
              <w:rPr>
                <w:sz w:val="20"/>
                <w:szCs w:val="20"/>
              </w:rPr>
            </w:pPr>
            <w:r w:rsidRPr="00FD3A9A">
              <w:rPr>
                <w:sz w:val="20"/>
                <w:szCs w:val="20"/>
              </w:rPr>
              <w:t xml:space="preserve">To avoid infection, the </w:t>
            </w:r>
            <w:r w:rsidR="007E04D7">
              <w:rPr>
                <w:sz w:val="20"/>
                <w:szCs w:val="20"/>
              </w:rPr>
              <w:t>individual</w:t>
            </w:r>
            <w:r w:rsidRPr="00FD3A9A">
              <w:rPr>
                <w:sz w:val="20"/>
                <w:szCs w:val="20"/>
              </w:rPr>
              <w:t xml:space="preserve"> should not have sexual intercourse or place anything in the vagina until bleeding stops (approximately 5 to 7 days</w:t>
            </w:r>
            <w:r w:rsidR="00E73364">
              <w:rPr>
                <w:sz w:val="20"/>
                <w:szCs w:val="20"/>
              </w:rPr>
              <w:t xml:space="preserve"> post-TOP</w:t>
            </w:r>
            <w:r w:rsidRPr="00FD3A9A">
              <w:rPr>
                <w:sz w:val="20"/>
                <w:szCs w:val="20"/>
              </w:rPr>
              <w:t xml:space="preserve">). If being treated for an infection or vaginal/cervical injury, the </w:t>
            </w:r>
            <w:r w:rsidR="007E04D7">
              <w:rPr>
                <w:sz w:val="20"/>
                <w:szCs w:val="20"/>
              </w:rPr>
              <w:t>individual</w:t>
            </w:r>
            <w:r w:rsidRPr="00FD3A9A">
              <w:rPr>
                <w:sz w:val="20"/>
                <w:szCs w:val="20"/>
              </w:rPr>
              <w:t xml:space="preserve"> should wait until fully heal</w:t>
            </w:r>
            <w:r w:rsidR="00947049">
              <w:rPr>
                <w:sz w:val="20"/>
                <w:szCs w:val="20"/>
              </w:rPr>
              <w:t>ed to resume sexual intercourse</w:t>
            </w:r>
            <w:r w:rsidRPr="00FD3A9A">
              <w:rPr>
                <w:sz w:val="20"/>
                <w:szCs w:val="20"/>
              </w:rPr>
              <w:t xml:space="preserve"> </w:t>
            </w:r>
          </w:p>
        </w:tc>
      </w:tr>
      <w:tr w:rsidR="004F4291" w:rsidRPr="00EF1EDB" w14:paraId="707BCC1E" w14:textId="77777777" w:rsidTr="00EF1EDB">
        <w:tc>
          <w:tcPr>
            <w:tcW w:w="3865" w:type="dxa"/>
          </w:tcPr>
          <w:p w14:paraId="38D6B2D4" w14:textId="2F8D5F9F" w:rsidR="004F4291" w:rsidRPr="00FD3A9A" w:rsidRDefault="004F4291" w:rsidP="004F4291">
            <w:pPr>
              <w:rPr>
                <w:b/>
                <w:i/>
                <w:sz w:val="20"/>
              </w:rPr>
            </w:pPr>
            <w:r>
              <w:rPr>
                <w:b/>
                <w:i/>
                <w:iCs/>
                <w:sz w:val="20"/>
              </w:rPr>
              <w:t>Post-TOP Complications C</w:t>
            </w:r>
            <w:r w:rsidRPr="00FD3A9A">
              <w:rPr>
                <w:b/>
                <w:i/>
                <w:iCs/>
                <w:sz w:val="20"/>
              </w:rPr>
              <w:t>ounselling</w:t>
            </w:r>
          </w:p>
          <w:p w14:paraId="543D38C9" w14:textId="77777777" w:rsidR="004F4291" w:rsidRPr="004F4291" w:rsidRDefault="004F4291" w:rsidP="00FD3A9A">
            <w:pPr>
              <w:rPr>
                <w:iCs/>
                <w:sz w:val="20"/>
              </w:rPr>
            </w:pPr>
          </w:p>
          <w:p w14:paraId="413931B4" w14:textId="77777777" w:rsidR="004F4291" w:rsidRDefault="004F4291" w:rsidP="004F4291">
            <w:pPr>
              <w:rPr>
                <w:iCs/>
                <w:sz w:val="20"/>
              </w:rPr>
            </w:pPr>
          </w:p>
          <w:p w14:paraId="0270D84C" w14:textId="5D4528C0" w:rsidR="004F4291" w:rsidRPr="004F4291" w:rsidRDefault="004F4291" w:rsidP="004F4291">
            <w:pPr>
              <w:rPr>
                <w:iCs/>
                <w:sz w:val="20"/>
              </w:rPr>
            </w:pPr>
            <w:r w:rsidRPr="004F4291">
              <w:rPr>
                <w:iCs/>
                <w:sz w:val="20"/>
              </w:rPr>
              <w:t xml:space="preserve">An individual who experiences post-TOP complications requires compassion and support. While this is especially true for an individual who has received an unsafe induced TOP, counselling for individuals who experience complications after a safe or unsafe TOP is key. </w:t>
            </w:r>
          </w:p>
          <w:p w14:paraId="18EC37B7" w14:textId="0256BA7F" w:rsidR="004F4291" w:rsidRDefault="004F4291" w:rsidP="00FD3A9A">
            <w:pPr>
              <w:rPr>
                <w:b/>
                <w:i/>
                <w:iCs/>
                <w:sz w:val="20"/>
              </w:rPr>
            </w:pPr>
          </w:p>
        </w:tc>
        <w:tc>
          <w:tcPr>
            <w:tcW w:w="5485" w:type="dxa"/>
          </w:tcPr>
          <w:p w14:paraId="7A876C52" w14:textId="36EBB57C" w:rsidR="004F4291" w:rsidRDefault="004F4291" w:rsidP="004F4291">
            <w:pPr>
              <w:rPr>
                <w:b/>
                <w:color w:val="000000" w:themeColor="text1"/>
                <w:sz w:val="20"/>
                <w:szCs w:val="20"/>
              </w:rPr>
            </w:pPr>
            <w:r>
              <w:rPr>
                <w:b/>
                <w:color w:val="000000" w:themeColor="text1"/>
                <w:sz w:val="20"/>
                <w:szCs w:val="20"/>
              </w:rPr>
              <w:t>If post-TOP complications are experienced, t</w:t>
            </w:r>
            <w:r w:rsidRPr="00E73364">
              <w:rPr>
                <w:b/>
                <w:color w:val="000000" w:themeColor="text1"/>
                <w:sz w:val="20"/>
                <w:szCs w:val="20"/>
              </w:rPr>
              <w:t xml:space="preserve">he following should be </w:t>
            </w:r>
            <w:r>
              <w:rPr>
                <w:b/>
                <w:color w:val="000000" w:themeColor="text1"/>
                <w:sz w:val="20"/>
                <w:szCs w:val="20"/>
              </w:rPr>
              <w:t xml:space="preserve">provided: </w:t>
            </w:r>
          </w:p>
          <w:p w14:paraId="0B9E35F5" w14:textId="4F88BEA9" w:rsidR="004F4291" w:rsidRPr="004F4291" w:rsidRDefault="004F4291" w:rsidP="004F4291">
            <w:pPr>
              <w:rPr>
                <w:color w:val="000000" w:themeColor="text1"/>
                <w:sz w:val="20"/>
                <w:szCs w:val="20"/>
              </w:rPr>
            </w:pPr>
          </w:p>
          <w:p w14:paraId="33555E5A" w14:textId="4B7CFE3F" w:rsidR="004F4291" w:rsidRPr="004F4291" w:rsidRDefault="004F4291" w:rsidP="008D431E">
            <w:pPr>
              <w:pStyle w:val="ListParagraph"/>
              <w:numPr>
                <w:ilvl w:val="0"/>
                <w:numId w:val="10"/>
              </w:numPr>
              <w:rPr>
                <w:sz w:val="20"/>
                <w:szCs w:val="20"/>
              </w:rPr>
            </w:pPr>
            <w:r>
              <w:rPr>
                <w:sz w:val="20"/>
                <w:szCs w:val="20"/>
              </w:rPr>
              <w:t>An</w:t>
            </w:r>
            <w:r w:rsidRPr="004F4291">
              <w:rPr>
                <w:sz w:val="20"/>
                <w:szCs w:val="20"/>
              </w:rPr>
              <w:t xml:space="preserve"> effort to understand what the individual has been through</w:t>
            </w:r>
          </w:p>
          <w:p w14:paraId="6D1160A9" w14:textId="28D4A2AF" w:rsidR="004F4291" w:rsidRPr="004F4291" w:rsidRDefault="004F4291" w:rsidP="008D431E">
            <w:pPr>
              <w:pStyle w:val="ListParagraph"/>
              <w:numPr>
                <w:ilvl w:val="0"/>
                <w:numId w:val="10"/>
              </w:numPr>
              <w:rPr>
                <w:sz w:val="20"/>
                <w:szCs w:val="20"/>
              </w:rPr>
            </w:pPr>
            <w:r>
              <w:rPr>
                <w:sz w:val="20"/>
                <w:szCs w:val="20"/>
              </w:rPr>
              <w:t>Treating the individual</w:t>
            </w:r>
            <w:r w:rsidRPr="004F4291">
              <w:rPr>
                <w:sz w:val="20"/>
                <w:szCs w:val="20"/>
              </w:rPr>
              <w:t xml:space="preserve"> respect and avoid judgement and criticism</w:t>
            </w:r>
          </w:p>
          <w:p w14:paraId="4EB6158D" w14:textId="77777777" w:rsidR="004F4291" w:rsidRPr="004F4291" w:rsidRDefault="004F4291" w:rsidP="008D431E">
            <w:pPr>
              <w:pStyle w:val="ListParagraph"/>
              <w:numPr>
                <w:ilvl w:val="0"/>
                <w:numId w:val="10"/>
              </w:numPr>
              <w:rPr>
                <w:sz w:val="20"/>
                <w:szCs w:val="20"/>
              </w:rPr>
            </w:pPr>
            <w:r w:rsidRPr="004F4291">
              <w:rPr>
                <w:sz w:val="20"/>
                <w:szCs w:val="20"/>
              </w:rPr>
              <w:t>Ask if the individual wants a trusted friend or family member present during counselling</w:t>
            </w:r>
          </w:p>
          <w:p w14:paraId="3A659A44" w14:textId="2D8B82C4" w:rsidR="004F4291" w:rsidRPr="004F4291" w:rsidRDefault="004F4291" w:rsidP="008D431E">
            <w:pPr>
              <w:pStyle w:val="ListParagraph"/>
              <w:numPr>
                <w:ilvl w:val="0"/>
                <w:numId w:val="10"/>
              </w:numPr>
              <w:rPr>
                <w:sz w:val="20"/>
                <w:szCs w:val="20"/>
              </w:rPr>
            </w:pPr>
            <w:r>
              <w:rPr>
                <w:sz w:val="20"/>
                <w:szCs w:val="20"/>
              </w:rPr>
              <w:t>Consideration of other</w:t>
            </w:r>
            <w:r w:rsidRPr="004F4291">
              <w:rPr>
                <w:sz w:val="20"/>
                <w:szCs w:val="20"/>
              </w:rPr>
              <w:t xml:space="preserve"> reproductive health services </w:t>
            </w:r>
            <w:r>
              <w:rPr>
                <w:sz w:val="20"/>
                <w:szCs w:val="20"/>
              </w:rPr>
              <w:t xml:space="preserve">that should be provided, </w:t>
            </w:r>
            <w:r w:rsidRPr="004F4291">
              <w:rPr>
                <w:sz w:val="20"/>
                <w:szCs w:val="20"/>
              </w:rPr>
              <w:t>such as contraceptive advice and emphasis on the use of dual protection, which is key in th</w:t>
            </w:r>
            <w:r w:rsidR="00947049">
              <w:rPr>
                <w:sz w:val="20"/>
                <w:szCs w:val="20"/>
              </w:rPr>
              <w:t>e context of prevention of STIs</w:t>
            </w:r>
          </w:p>
          <w:p w14:paraId="4C073E3F" w14:textId="77777777" w:rsidR="004F4291" w:rsidRDefault="004F4291" w:rsidP="004F4291">
            <w:pPr>
              <w:rPr>
                <w:b/>
                <w:color w:val="000000" w:themeColor="text1"/>
                <w:sz w:val="20"/>
                <w:szCs w:val="20"/>
              </w:rPr>
            </w:pPr>
          </w:p>
          <w:p w14:paraId="392235EE" w14:textId="77777777" w:rsidR="004F4291" w:rsidRPr="00E73364" w:rsidRDefault="004F4291" w:rsidP="00FD3A9A">
            <w:pPr>
              <w:rPr>
                <w:b/>
                <w:color w:val="000000" w:themeColor="text1"/>
                <w:sz w:val="20"/>
                <w:szCs w:val="20"/>
              </w:rPr>
            </w:pPr>
          </w:p>
        </w:tc>
      </w:tr>
    </w:tbl>
    <w:p w14:paraId="107B8D06" w14:textId="5F348A2E" w:rsidR="00F319D2" w:rsidRDefault="00F319D2" w:rsidP="00C02144"/>
    <w:p w14:paraId="7DA5E8F0" w14:textId="68E6750F" w:rsidR="00F97B16" w:rsidRDefault="00F97B16" w:rsidP="00C02144">
      <w:r>
        <w:rPr>
          <w:noProof/>
          <w:lang w:val="en-ZA" w:eastAsia="en-ZA"/>
        </w:rPr>
        <w:lastRenderedPageBreak/>
        <mc:AlternateContent>
          <mc:Choice Requires="wps">
            <w:drawing>
              <wp:inline distT="0" distB="0" distL="0" distR="0" wp14:anchorId="6C25AEAB" wp14:editId="5DB8B7AE">
                <wp:extent cx="5943600" cy="2969897"/>
                <wp:effectExtent l="0" t="0" r="6350" b="5080"/>
                <wp:docPr id="12" name="Text Box 12"/>
                <wp:cNvGraphicFramePr/>
                <a:graphic xmlns:a="http://schemas.openxmlformats.org/drawingml/2006/main">
                  <a:graphicData uri="http://schemas.microsoft.com/office/word/2010/wordprocessingShape">
                    <wps:wsp>
                      <wps:cNvSpPr txBox="1"/>
                      <wps:spPr>
                        <a:xfrm>
                          <a:off x="0" y="0"/>
                          <a:ext cx="5943600" cy="2969897"/>
                        </a:xfrm>
                        <a:prstGeom prst="rect">
                          <a:avLst/>
                        </a:prstGeom>
                        <a:solidFill>
                          <a:schemeClr val="accent6">
                            <a:lumMod val="20000"/>
                            <a:lumOff val="80000"/>
                          </a:schemeClr>
                        </a:solidFill>
                        <a:ln w="6350">
                          <a:noFill/>
                        </a:ln>
                      </wps:spPr>
                      <wps:txbx>
                        <w:txbxContent>
                          <w:p w14:paraId="60E64469" w14:textId="56B19B44" w:rsidR="003351E3" w:rsidRPr="00D27901" w:rsidRDefault="003351E3" w:rsidP="00657E45">
                            <w:pPr>
                              <w:pStyle w:val="Caption"/>
                              <w:rPr>
                                <w:b/>
                                <w:color w:val="auto"/>
                                <w:sz w:val="20"/>
                              </w:rPr>
                            </w:pPr>
                            <w:r w:rsidRPr="00D27901">
                              <w:rPr>
                                <w:b/>
                                <w:color w:val="auto"/>
                                <w:sz w:val="20"/>
                              </w:rPr>
                              <w:t xml:space="preserve">Box </w:t>
                            </w:r>
                            <w:r w:rsidRPr="00D27901">
                              <w:rPr>
                                <w:b/>
                                <w:color w:val="auto"/>
                                <w:sz w:val="20"/>
                              </w:rPr>
                              <w:fldChar w:fldCharType="begin"/>
                            </w:r>
                            <w:r w:rsidRPr="00D27901">
                              <w:rPr>
                                <w:b/>
                                <w:color w:val="auto"/>
                                <w:sz w:val="20"/>
                              </w:rPr>
                              <w:instrText xml:space="preserve"> SEQ Box \* ARABIC </w:instrText>
                            </w:r>
                            <w:r w:rsidRPr="00D27901">
                              <w:rPr>
                                <w:b/>
                                <w:color w:val="auto"/>
                                <w:sz w:val="20"/>
                              </w:rPr>
                              <w:fldChar w:fldCharType="separate"/>
                            </w:r>
                            <w:r w:rsidRPr="00D27901">
                              <w:rPr>
                                <w:b/>
                                <w:noProof/>
                                <w:color w:val="auto"/>
                                <w:sz w:val="20"/>
                              </w:rPr>
                              <w:t>1</w:t>
                            </w:r>
                            <w:r w:rsidRPr="00D27901">
                              <w:rPr>
                                <w:b/>
                                <w:color w:val="auto"/>
                                <w:sz w:val="20"/>
                              </w:rPr>
                              <w:fldChar w:fldCharType="end"/>
                            </w:r>
                            <w:r w:rsidRPr="00D27901">
                              <w:rPr>
                                <w:b/>
                                <w:color w:val="auto"/>
                                <w:sz w:val="20"/>
                              </w:rPr>
                              <w:t>. Topics to avoid when talking to TOP individuals</w:t>
                            </w:r>
                            <w:r>
                              <w:rPr>
                                <w:b/>
                                <w:color w:val="auto"/>
                                <w:sz w:val="20"/>
                              </w:rPr>
                              <w:t xml:space="preserve">: </w:t>
                            </w:r>
                          </w:p>
                          <w:p w14:paraId="7CDB487B" w14:textId="126B692D" w:rsidR="003351E3" w:rsidRPr="00D27901" w:rsidRDefault="003351E3" w:rsidP="008D431E">
                            <w:pPr>
                              <w:pStyle w:val="ListParagraph"/>
                              <w:numPr>
                                <w:ilvl w:val="0"/>
                                <w:numId w:val="11"/>
                              </w:numPr>
                              <w:rPr>
                                <w:sz w:val="20"/>
                                <w:szCs w:val="20"/>
                              </w:rPr>
                            </w:pPr>
                            <w:r w:rsidRPr="00D27901">
                              <w:rPr>
                                <w:sz w:val="20"/>
                                <w:szCs w:val="20"/>
                              </w:rPr>
                              <w:t>Never require an individual to disclose how they conceived</w:t>
                            </w:r>
                          </w:p>
                          <w:p w14:paraId="03789CCF" w14:textId="70CE0C70" w:rsidR="003351E3" w:rsidRPr="00D27901" w:rsidRDefault="003351E3" w:rsidP="008D431E">
                            <w:pPr>
                              <w:pStyle w:val="ListParagraph"/>
                              <w:numPr>
                                <w:ilvl w:val="0"/>
                                <w:numId w:val="11"/>
                              </w:numPr>
                              <w:rPr>
                                <w:sz w:val="20"/>
                                <w:szCs w:val="20"/>
                              </w:rPr>
                            </w:pPr>
                            <w:r w:rsidRPr="00D27901">
                              <w:rPr>
                                <w:sz w:val="20"/>
                                <w:szCs w:val="20"/>
                              </w:rPr>
                              <w:t xml:space="preserve">Do not shame individuals for lack of contraceptive use or any other behaviour that could be interpreted as leading to the pregnancy  </w:t>
                            </w:r>
                          </w:p>
                          <w:p w14:paraId="45246A12" w14:textId="436B8649" w:rsidR="003351E3" w:rsidRPr="00D27901" w:rsidRDefault="003351E3" w:rsidP="008D431E">
                            <w:pPr>
                              <w:pStyle w:val="ListParagraph"/>
                              <w:numPr>
                                <w:ilvl w:val="0"/>
                                <w:numId w:val="11"/>
                              </w:numPr>
                              <w:rPr>
                                <w:sz w:val="20"/>
                                <w:szCs w:val="20"/>
                              </w:rPr>
                            </w:pPr>
                            <w:r w:rsidRPr="00D27901">
                              <w:rPr>
                                <w:sz w:val="20"/>
                                <w:szCs w:val="20"/>
                              </w:rPr>
                              <w:t xml:space="preserve">Do not require an individual to divulge their reasons for wanting a TOP or judge the individual for the pregnancy or their reason for wanting a TOP </w:t>
                            </w:r>
                          </w:p>
                          <w:p w14:paraId="21060936" w14:textId="2917D7E1" w:rsidR="003351E3" w:rsidRPr="00D27901" w:rsidRDefault="003351E3" w:rsidP="008D431E">
                            <w:pPr>
                              <w:pStyle w:val="ListParagraph"/>
                              <w:numPr>
                                <w:ilvl w:val="0"/>
                                <w:numId w:val="11"/>
                              </w:numPr>
                              <w:rPr>
                                <w:sz w:val="20"/>
                                <w:szCs w:val="20"/>
                              </w:rPr>
                            </w:pPr>
                            <w:r w:rsidRPr="00D27901">
                              <w:rPr>
                                <w:sz w:val="20"/>
                                <w:szCs w:val="20"/>
                              </w:rPr>
                              <w:t>Refrain from using the word ‘baby’ to refer to the embryo/foetus or unborn child, unless preferred by the individual</w:t>
                            </w:r>
                          </w:p>
                          <w:p w14:paraId="7F9C19D4" w14:textId="58553EB4" w:rsidR="003351E3" w:rsidRPr="00D27901" w:rsidRDefault="003351E3" w:rsidP="008D431E">
                            <w:pPr>
                              <w:pStyle w:val="ListParagraph"/>
                              <w:numPr>
                                <w:ilvl w:val="0"/>
                                <w:numId w:val="11"/>
                              </w:numPr>
                              <w:rPr>
                                <w:sz w:val="20"/>
                                <w:szCs w:val="20"/>
                              </w:rPr>
                            </w:pPr>
                            <w:r w:rsidRPr="00D27901">
                              <w:rPr>
                                <w:sz w:val="20"/>
                                <w:szCs w:val="20"/>
                              </w:rPr>
                              <w:t xml:space="preserve">Refrain from </w:t>
                            </w:r>
                            <w:r>
                              <w:rPr>
                                <w:sz w:val="20"/>
                                <w:szCs w:val="20"/>
                              </w:rPr>
                              <w:t>using graphic descriptions of f</w:t>
                            </w:r>
                            <w:r w:rsidRPr="00D27901">
                              <w:rPr>
                                <w:sz w:val="20"/>
                                <w:szCs w:val="20"/>
                              </w:rPr>
                              <w:t>etal development, showing pictures of foetuses, or requiring th</w:t>
                            </w:r>
                            <w:r>
                              <w:rPr>
                                <w:sz w:val="20"/>
                                <w:szCs w:val="20"/>
                              </w:rPr>
                              <w:t>e individual to listen to the f</w:t>
                            </w:r>
                            <w:r w:rsidRPr="00D27901">
                              <w:rPr>
                                <w:sz w:val="20"/>
                                <w:szCs w:val="20"/>
                              </w:rPr>
                              <w:t xml:space="preserve">etal heartbeat </w:t>
                            </w:r>
                          </w:p>
                          <w:p w14:paraId="2297E995" w14:textId="1FFEFA44" w:rsidR="003351E3" w:rsidRPr="00D27901" w:rsidRDefault="003351E3" w:rsidP="008D431E">
                            <w:pPr>
                              <w:pStyle w:val="ListParagraph"/>
                              <w:numPr>
                                <w:ilvl w:val="0"/>
                                <w:numId w:val="11"/>
                              </w:numPr>
                              <w:rPr>
                                <w:sz w:val="20"/>
                                <w:szCs w:val="20"/>
                              </w:rPr>
                            </w:pPr>
                            <w:r w:rsidRPr="00D27901">
                              <w:rPr>
                                <w:sz w:val="20"/>
                                <w:szCs w:val="20"/>
                              </w:rPr>
                              <w:t>Do not communicate unproven, disputed, or false claims about negative physical and mental consequences of TOP</w:t>
                            </w:r>
                          </w:p>
                          <w:p w14:paraId="5155066E" w14:textId="34AA3140" w:rsidR="003351E3" w:rsidRPr="00D27901" w:rsidRDefault="003351E3" w:rsidP="008D431E">
                            <w:pPr>
                              <w:pStyle w:val="ListParagraph"/>
                              <w:numPr>
                                <w:ilvl w:val="0"/>
                                <w:numId w:val="11"/>
                              </w:numPr>
                              <w:rPr>
                                <w:sz w:val="20"/>
                                <w:szCs w:val="20"/>
                              </w:rPr>
                            </w:pPr>
                            <w:r w:rsidRPr="00D27901">
                              <w:rPr>
                                <w:sz w:val="20"/>
                                <w:szCs w:val="20"/>
                              </w:rPr>
                              <w:t xml:space="preserve">Do not use religious references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25AEAB" id="Text Box 12" o:spid="_x0000_s1035" type="#_x0000_t202" style="width:468pt;height:233.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" fillcolor="#e2efd9 [665]" stroked="f" strokeweight=".5pt">
                <v:textbox style="mso-fit-shape-to-text:t">
                  <w:txbxContent>
                    <w:p w14:paraId="60E64469" w14:textId="56B19B44" w:rsidR="003351E3" w:rsidRPr="00D27901" w:rsidRDefault="003351E3" w:rsidP="00657E45">
                      <w:pPr>
                        <w:pStyle w:val="Caption"/>
                        <w:rPr>
                          <w:b/>
                          <w:color w:val="auto"/>
                          <w:sz w:val="20"/>
                        </w:rPr>
                      </w:pPr>
                      <w:r w:rsidRPr="00D27901">
                        <w:rPr>
                          <w:b/>
                          <w:color w:val="auto"/>
                          <w:sz w:val="20"/>
                        </w:rPr>
                        <w:t xml:space="preserve">Box </w:t>
                      </w:r>
                      <w:r w:rsidRPr="00D27901">
                        <w:rPr>
                          <w:b/>
                          <w:color w:val="auto"/>
                          <w:sz w:val="20"/>
                        </w:rPr>
                        <w:fldChar w:fldCharType="begin"/>
                      </w:r>
                      <w:r w:rsidRPr="00D27901">
                        <w:rPr>
                          <w:b/>
                          <w:color w:val="auto"/>
                          <w:sz w:val="20"/>
                        </w:rPr>
                        <w:instrText xml:space="preserve"> SEQ Box \* ARABIC </w:instrText>
                      </w:r>
                      <w:r w:rsidRPr="00D27901">
                        <w:rPr>
                          <w:b/>
                          <w:color w:val="auto"/>
                          <w:sz w:val="20"/>
                        </w:rPr>
                        <w:fldChar w:fldCharType="separate"/>
                      </w:r>
                      <w:r w:rsidRPr="00D27901">
                        <w:rPr>
                          <w:b/>
                          <w:noProof/>
                          <w:color w:val="auto"/>
                          <w:sz w:val="20"/>
                        </w:rPr>
                        <w:t>1</w:t>
                      </w:r>
                      <w:r w:rsidRPr="00D27901">
                        <w:rPr>
                          <w:b/>
                          <w:color w:val="auto"/>
                          <w:sz w:val="20"/>
                        </w:rPr>
                        <w:fldChar w:fldCharType="end"/>
                      </w:r>
                      <w:r w:rsidRPr="00D27901">
                        <w:rPr>
                          <w:b/>
                          <w:color w:val="auto"/>
                          <w:sz w:val="20"/>
                        </w:rPr>
                        <w:t>. Topics to avoid when talking to TOP individuals</w:t>
                      </w:r>
                      <w:r>
                        <w:rPr>
                          <w:b/>
                          <w:color w:val="auto"/>
                          <w:sz w:val="20"/>
                        </w:rPr>
                        <w:t xml:space="preserve">: </w:t>
                      </w:r>
                    </w:p>
                    <w:p w14:paraId="7CDB487B" w14:textId="126B692D" w:rsidR="003351E3" w:rsidRPr="00D27901" w:rsidRDefault="003351E3" w:rsidP="008D431E">
                      <w:pPr>
                        <w:pStyle w:val="ListParagraph"/>
                        <w:numPr>
                          <w:ilvl w:val="0"/>
                          <w:numId w:val="11"/>
                        </w:numPr>
                        <w:rPr>
                          <w:sz w:val="20"/>
                          <w:szCs w:val="20"/>
                        </w:rPr>
                      </w:pPr>
                      <w:r w:rsidRPr="00D27901">
                        <w:rPr>
                          <w:sz w:val="20"/>
                          <w:szCs w:val="20"/>
                        </w:rPr>
                        <w:t>Never require an individual to disclose how they conceived</w:t>
                      </w:r>
                    </w:p>
                    <w:p w14:paraId="03789CCF" w14:textId="70CE0C70" w:rsidR="003351E3" w:rsidRPr="00D27901" w:rsidRDefault="003351E3" w:rsidP="008D431E">
                      <w:pPr>
                        <w:pStyle w:val="ListParagraph"/>
                        <w:numPr>
                          <w:ilvl w:val="0"/>
                          <w:numId w:val="11"/>
                        </w:numPr>
                        <w:rPr>
                          <w:sz w:val="20"/>
                          <w:szCs w:val="20"/>
                        </w:rPr>
                      </w:pPr>
                      <w:r w:rsidRPr="00D27901">
                        <w:rPr>
                          <w:sz w:val="20"/>
                          <w:szCs w:val="20"/>
                        </w:rPr>
                        <w:t xml:space="preserve">Do not shame individuals for lack of contraceptive use or any other behaviour that could be interpreted as leading to the pregnancy  </w:t>
                      </w:r>
                    </w:p>
                    <w:p w14:paraId="45246A12" w14:textId="436B8649" w:rsidR="003351E3" w:rsidRPr="00D27901" w:rsidRDefault="003351E3" w:rsidP="008D431E">
                      <w:pPr>
                        <w:pStyle w:val="ListParagraph"/>
                        <w:numPr>
                          <w:ilvl w:val="0"/>
                          <w:numId w:val="11"/>
                        </w:numPr>
                        <w:rPr>
                          <w:sz w:val="20"/>
                          <w:szCs w:val="20"/>
                        </w:rPr>
                      </w:pPr>
                      <w:r w:rsidRPr="00D27901">
                        <w:rPr>
                          <w:sz w:val="20"/>
                          <w:szCs w:val="20"/>
                        </w:rPr>
                        <w:t xml:space="preserve">Do not require an individual to divulge their reasons for wanting a TOP or judge the individual for the pregnancy or their reason for wanting a TOP </w:t>
                      </w:r>
                    </w:p>
                    <w:p w14:paraId="21060936" w14:textId="2917D7E1" w:rsidR="003351E3" w:rsidRPr="00D27901" w:rsidRDefault="003351E3" w:rsidP="008D431E">
                      <w:pPr>
                        <w:pStyle w:val="ListParagraph"/>
                        <w:numPr>
                          <w:ilvl w:val="0"/>
                          <w:numId w:val="11"/>
                        </w:numPr>
                        <w:rPr>
                          <w:sz w:val="20"/>
                          <w:szCs w:val="20"/>
                        </w:rPr>
                      </w:pPr>
                      <w:r w:rsidRPr="00D27901">
                        <w:rPr>
                          <w:sz w:val="20"/>
                          <w:szCs w:val="20"/>
                        </w:rPr>
                        <w:t>Refrain from using the word ‘baby’ to refer to the embryo/foetus or unborn child, unless preferred by the individual</w:t>
                      </w:r>
                    </w:p>
                    <w:p w14:paraId="7F9C19D4" w14:textId="58553EB4" w:rsidR="003351E3" w:rsidRPr="00D27901" w:rsidRDefault="003351E3" w:rsidP="008D431E">
                      <w:pPr>
                        <w:pStyle w:val="ListParagraph"/>
                        <w:numPr>
                          <w:ilvl w:val="0"/>
                          <w:numId w:val="11"/>
                        </w:numPr>
                        <w:rPr>
                          <w:sz w:val="20"/>
                          <w:szCs w:val="20"/>
                        </w:rPr>
                      </w:pPr>
                      <w:r w:rsidRPr="00D27901">
                        <w:rPr>
                          <w:sz w:val="20"/>
                          <w:szCs w:val="20"/>
                        </w:rPr>
                        <w:t xml:space="preserve">Refrain from </w:t>
                      </w:r>
                      <w:r>
                        <w:rPr>
                          <w:sz w:val="20"/>
                          <w:szCs w:val="20"/>
                        </w:rPr>
                        <w:t>using graphic descriptions of f</w:t>
                      </w:r>
                      <w:r w:rsidRPr="00D27901">
                        <w:rPr>
                          <w:sz w:val="20"/>
                          <w:szCs w:val="20"/>
                        </w:rPr>
                        <w:t>etal development, showing pictures of foetuses, or requiring th</w:t>
                      </w:r>
                      <w:r>
                        <w:rPr>
                          <w:sz w:val="20"/>
                          <w:szCs w:val="20"/>
                        </w:rPr>
                        <w:t>e individual to listen to the f</w:t>
                      </w:r>
                      <w:r w:rsidRPr="00D27901">
                        <w:rPr>
                          <w:sz w:val="20"/>
                          <w:szCs w:val="20"/>
                        </w:rPr>
                        <w:t xml:space="preserve">etal heartbeat </w:t>
                      </w:r>
                    </w:p>
                    <w:p w14:paraId="2297E995" w14:textId="1FFEFA44" w:rsidR="003351E3" w:rsidRPr="00D27901" w:rsidRDefault="003351E3" w:rsidP="008D431E">
                      <w:pPr>
                        <w:pStyle w:val="ListParagraph"/>
                        <w:numPr>
                          <w:ilvl w:val="0"/>
                          <w:numId w:val="11"/>
                        </w:numPr>
                        <w:rPr>
                          <w:sz w:val="20"/>
                          <w:szCs w:val="20"/>
                        </w:rPr>
                      </w:pPr>
                      <w:r w:rsidRPr="00D27901">
                        <w:rPr>
                          <w:sz w:val="20"/>
                          <w:szCs w:val="20"/>
                        </w:rPr>
                        <w:t>Do not communicate unproven, disputed, or false claims about negative physical and mental consequences of TOP</w:t>
                      </w:r>
                    </w:p>
                    <w:p w14:paraId="5155066E" w14:textId="34AA3140" w:rsidR="003351E3" w:rsidRPr="00D27901" w:rsidRDefault="003351E3" w:rsidP="008D431E">
                      <w:pPr>
                        <w:pStyle w:val="ListParagraph"/>
                        <w:numPr>
                          <w:ilvl w:val="0"/>
                          <w:numId w:val="11"/>
                        </w:numPr>
                        <w:rPr>
                          <w:sz w:val="20"/>
                          <w:szCs w:val="20"/>
                        </w:rPr>
                      </w:pPr>
                      <w:r w:rsidRPr="00D27901">
                        <w:rPr>
                          <w:sz w:val="20"/>
                          <w:szCs w:val="20"/>
                        </w:rPr>
                        <w:t xml:space="preserve">Do not use religious references </w:t>
                      </w:r>
                    </w:p>
                  </w:txbxContent>
                </v:textbox>
                <w10:anchorlock/>
              </v:shape>
            </w:pict>
          </mc:Fallback>
        </mc:AlternateContent>
      </w:r>
    </w:p>
    <w:p w14:paraId="5AC3A4DC" w14:textId="77777777" w:rsidR="00F97B16" w:rsidRDefault="00F97B16" w:rsidP="00C02144">
      <w:pPr>
        <w:rPr>
          <w:b/>
        </w:rPr>
      </w:pPr>
    </w:p>
    <w:p w14:paraId="5221A414" w14:textId="2A18052E" w:rsidR="00BA14DC" w:rsidRDefault="00BA14DC" w:rsidP="00BA14DC">
      <w:bookmarkStart w:id="61" w:name="_Toc525688594"/>
    </w:p>
    <w:p w14:paraId="190D508D" w14:textId="0F8E07ED" w:rsidR="00BA14DC" w:rsidRPr="00507D47" w:rsidRDefault="00BA14DC" w:rsidP="00BA14DC">
      <w:pPr>
        <w:pStyle w:val="Heading2"/>
      </w:pPr>
      <w:bookmarkStart w:id="62" w:name="_Toc8387202"/>
      <w:r w:rsidRPr="00507D47">
        <w:t xml:space="preserve">Informed </w:t>
      </w:r>
      <w:r w:rsidR="00822B7C">
        <w:t>c</w:t>
      </w:r>
      <w:r w:rsidRPr="00507D47">
        <w:t>onsent</w:t>
      </w:r>
      <w:bookmarkEnd w:id="61"/>
      <w:bookmarkEnd w:id="62"/>
      <w:r w:rsidRPr="00507D47">
        <w:t xml:space="preserve"> </w:t>
      </w:r>
    </w:p>
    <w:p w14:paraId="408660B7" w14:textId="77777777" w:rsidR="00BA14DC" w:rsidRDefault="00BA14DC" w:rsidP="00BA14DC">
      <w:r>
        <w:rPr>
          <w:noProof/>
          <w:lang w:val="en-ZA" w:eastAsia="en-ZA"/>
        </w:rPr>
        <mc:AlternateContent>
          <mc:Choice Requires="wps">
            <w:drawing>
              <wp:anchor distT="0" distB="0" distL="114300" distR="114300" simplePos="0" relativeHeight="251678720" behindDoc="0" locked="0" layoutInCell="1" allowOverlap="1" wp14:anchorId="7F407500" wp14:editId="5FB00C7B">
                <wp:simplePos x="0" y="0"/>
                <wp:positionH relativeFrom="column">
                  <wp:posOffset>4211955</wp:posOffset>
                </wp:positionH>
                <wp:positionV relativeFrom="paragraph">
                  <wp:posOffset>206375</wp:posOffset>
                </wp:positionV>
                <wp:extent cx="1860550" cy="1071245"/>
                <wp:effectExtent l="88900" t="76200" r="107950" b="933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71245"/>
                        </a:xfrm>
                        <a:prstGeom prst="rect">
                          <a:avLst/>
                        </a:prstGeom>
                        <a:noFill/>
                        <a:ln w="6350">
                          <a:solidFill>
                            <a:srgbClr val="009051"/>
                          </a:solidFill>
                        </a:ln>
                        <a:effectLst>
                          <a:outerShdw blurRad="63500" sx="102000" sy="102000" algn="ctr" rotWithShape="0">
                            <a:prstClr val="black">
                              <a:alpha val="40000"/>
                            </a:prstClr>
                          </a:outerShdw>
                        </a:effectLst>
                      </wps:spPr>
                      <wps:txbx>
                        <w:txbxContent>
                          <w:p w14:paraId="3B39A227" w14:textId="2D0E8783" w:rsidR="003351E3" w:rsidRPr="00BA14DC" w:rsidRDefault="003351E3" w:rsidP="00BA14DC">
                            <w:pPr>
                              <w:pStyle w:val="Caption"/>
                              <w:spacing w:after="0"/>
                              <w:jc w:val="center"/>
                              <w:rPr>
                                <w:iCs w:val="0"/>
                                <w:color w:val="auto"/>
                                <w:sz w:val="20"/>
                                <w:szCs w:val="20"/>
                              </w:rPr>
                            </w:pPr>
                            <w:r w:rsidRPr="00BA14DC">
                              <w:rPr>
                                <w:iCs w:val="0"/>
                                <w:color w:val="auto"/>
                                <w:sz w:val="20"/>
                                <w:szCs w:val="20"/>
                              </w:rPr>
                              <w:t>Section 5 of CTOP Act:</w:t>
                            </w:r>
                          </w:p>
                          <w:p w14:paraId="3810FF2A" w14:textId="21718229" w:rsidR="003351E3" w:rsidRPr="00BA14DC" w:rsidRDefault="003351E3" w:rsidP="00BA14DC">
                            <w:pPr>
                              <w:pStyle w:val="Caption"/>
                              <w:spacing w:after="0"/>
                              <w:jc w:val="center"/>
                              <w:rPr>
                                <w:color w:val="auto"/>
                                <w:sz w:val="20"/>
                                <w:szCs w:val="20"/>
                              </w:rPr>
                            </w:pPr>
                            <w:r w:rsidRPr="00BA14DC">
                              <w:rPr>
                                <w:iCs w:val="0"/>
                                <w:color w:val="auto"/>
                                <w:sz w:val="20"/>
                                <w:szCs w:val="20"/>
                              </w:rPr>
                              <w:t>“no consent other than that of the pregnant woman shall be required for the termination of a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F407500" id="Text Box 13" o:spid="_x0000_s1036" type="#_x0000_t202" style="position:absolute;margin-left:331.65pt;margin-top:16.25pt;width:146.5pt;height:8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" filled="f" strokecolor="#009051" strokeweight=".5pt">
                <v:shadow on="t" type="perspective" color="black" opacity="26214f" offset="0,0" matrix="66847f,,,66847f"/>
                <v:textbox style="mso-fit-shape-to-text:t">
                  <w:txbxContent>
                    <w:p w14:paraId="3B39A227" w14:textId="2D0E8783" w:rsidR="003351E3" w:rsidRPr="00BA14DC" w:rsidRDefault="003351E3" w:rsidP="00BA14DC">
                      <w:pPr>
                        <w:pStyle w:val="Caption"/>
                        <w:spacing w:after="0"/>
                        <w:jc w:val="center"/>
                        <w:rPr>
                          <w:iCs w:val="0"/>
                          <w:color w:val="auto"/>
                          <w:sz w:val="20"/>
                          <w:szCs w:val="20"/>
                        </w:rPr>
                      </w:pPr>
                      <w:r w:rsidRPr="00BA14DC">
                        <w:rPr>
                          <w:iCs w:val="0"/>
                          <w:color w:val="auto"/>
                          <w:sz w:val="20"/>
                          <w:szCs w:val="20"/>
                        </w:rPr>
                        <w:t>Section 5 of CTOP Act:</w:t>
                      </w:r>
                    </w:p>
                    <w:p w14:paraId="3810FF2A" w14:textId="21718229" w:rsidR="003351E3" w:rsidRPr="00BA14DC" w:rsidRDefault="003351E3" w:rsidP="00BA14DC">
                      <w:pPr>
                        <w:pStyle w:val="Caption"/>
                        <w:spacing w:after="0"/>
                        <w:jc w:val="center"/>
                        <w:rPr>
                          <w:color w:val="auto"/>
                          <w:sz w:val="20"/>
                          <w:szCs w:val="20"/>
                        </w:rPr>
                      </w:pPr>
                      <w:r w:rsidRPr="00BA14DC">
                        <w:rPr>
                          <w:iCs w:val="0"/>
                          <w:color w:val="auto"/>
                          <w:sz w:val="20"/>
                          <w:szCs w:val="20"/>
                        </w:rPr>
                        <w:t>“no consent other than that of the pregnant woman shall be required for the termination of a pregnancy.”</w:t>
                      </w:r>
                    </w:p>
                  </w:txbxContent>
                </v:textbox>
                <w10:wrap type="square"/>
              </v:shape>
            </w:pict>
          </mc:Fallback>
        </mc:AlternateContent>
      </w:r>
    </w:p>
    <w:p w14:paraId="76095C77" w14:textId="6FA714D5" w:rsidR="00BA14DC" w:rsidRDefault="00BA14DC" w:rsidP="00BA14DC">
      <w:r>
        <w:t>TOP</w:t>
      </w:r>
      <w:r w:rsidRPr="00D33391">
        <w:t xml:space="preserve">s may only take place with the informed consent of the pregnant </w:t>
      </w:r>
      <w:r w:rsidR="00900F45">
        <w:t>individual</w:t>
      </w:r>
      <w:r w:rsidRPr="00D33391">
        <w:t xml:space="preserve">. No consent other than that of the pregnant </w:t>
      </w:r>
      <w:r w:rsidR="00900F45">
        <w:t>individual</w:t>
      </w:r>
      <w:r w:rsidRPr="00D33391">
        <w:t xml:space="preserve"> </w:t>
      </w:r>
      <w:r w:rsidR="00900F45">
        <w:t>is required, irrespective of</w:t>
      </w:r>
      <w:r w:rsidRPr="00D33391">
        <w:t xml:space="preserve"> age. Pregnant minors (any </w:t>
      </w:r>
      <w:r w:rsidR="007E04D7">
        <w:t>individual</w:t>
      </w:r>
      <w:r w:rsidRPr="00D33391">
        <w:t xml:space="preserve"> under 18 years of age) </w:t>
      </w:r>
      <w:r w:rsidR="00FE60A7">
        <w:t>may find benefit in consulting with an adult (parents, guardian, or other adult family</w:t>
      </w:r>
      <w:r w:rsidRPr="00D33391">
        <w:t xml:space="preserve"> or friends) </w:t>
      </w:r>
      <w:r w:rsidR="00FE60A7">
        <w:t xml:space="preserve">prior to a TOP. However consulting an adult is not required and a pregnant minor cannot be denied TOP services if </w:t>
      </w:r>
      <w:r w:rsidR="00900F45">
        <w:t>they choose</w:t>
      </w:r>
      <w:r w:rsidRPr="00D33391">
        <w:t xml:space="preserve"> not to consult them.</w:t>
      </w:r>
      <w:r>
        <w:fldChar w:fldCharType="begin"/>
      </w:r>
      <w:r w:rsidR="005A01B7">
        <w:instrText xml:space="preserve"> ADDIN EN.CITE &lt;EndNote&gt;&lt;Cite&gt;&lt;Author&gt;Government of South Africa&lt;/Author&gt;&lt;Year&gt;1996&lt;/Year&gt;&lt;RecNum&gt;241&lt;/RecNum&gt;&lt;DisplayText&gt;&lt;style face="superscript"&gt;1&lt;/style&gt;&lt;/DisplayText&gt;&lt;record&gt;&lt;rec-number&gt;241&lt;/rec-number&gt;&lt;foreign-keys&gt;&lt;key app="EN" db-id="eare2taxlax2sqezt0kv0afm2vr2vt95dwsz" timestamp="1543206667"&gt;241&lt;/key&gt;&lt;/foreign-keys&gt;&lt;ref-type name="Government Document"&gt;46&lt;/ref-type&gt;&lt;contributors&gt;&lt;authors&gt;&lt;author&gt;Government of South Africa,&lt;/author&gt;&lt;/authors&gt;&lt;/contributors&gt;&lt;titles&gt;&lt;title&gt;Choice on Termination of Pregnancy Act 92&lt;/title&gt;&lt;/titles&gt;&lt;dates&gt;&lt;year&gt;1996&lt;/year&gt;&lt;/dates&gt;&lt;urls&gt;&lt;related-urls&gt;&lt;url&gt;https://www.gov.za/documents/choice-termination-pregnancy-act&lt;/url&gt;&lt;/related-urls&gt;&lt;/urls&gt;&lt;/record&gt;&lt;/Cite&gt;&lt;/EndNote&gt;</w:instrText>
      </w:r>
      <w:r>
        <w:fldChar w:fldCharType="separate"/>
      </w:r>
      <w:r w:rsidR="005A01B7" w:rsidRPr="005A01B7">
        <w:rPr>
          <w:noProof/>
          <w:vertAlign w:val="superscript"/>
        </w:rPr>
        <w:t>1</w:t>
      </w:r>
      <w:r>
        <w:fldChar w:fldCharType="end"/>
      </w:r>
      <w:r w:rsidRPr="00D33391">
        <w:t xml:space="preserve"> </w:t>
      </w:r>
    </w:p>
    <w:p w14:paraId="6CCFD705" w14:textId="77D7313A" w:rsidR="00FE60A7" w:rsidRDefault="00FE60A7" w:rsidP="00BA14DC"/>
    <w:p w14:paraId="2FC8C686" w14:textId="14C98F25" w:rsidR="00BA14DC" w:rsidRPr="00D33391" w:rsidRDefault="00BA14DC" w:rsidP="00BA14DC">
      <w:r w:rsidRPr="00D33391">
        <w:t xml:space="preserve">Written consent in the form of a signed consent </w:t>
      </w:r>
      <w:r w:rsidRPr="001606CD">
        <w:t>form (</w:t>
      </w:r>
      <w:r w:rsidR="00B353F2" w:rsidRPr="001606CD">
        <w:t>A</w:t>
      </w:r>
      <w:r w:rsidR="00F117C9">
        <w:t>nnex 3b: Annexure B</w:t>
      </w:r>
      <w:r w:rsidRPr="001606CD">
        <w:t>)</w:t>
      </w:r>
      <w:r w:rsidRPr="00D33391">
        <w:t xml:space="preserve"> should be obtained from the </w:t>
      </w:r>
      <w:r w:rsidR="007E04D7">
        <w:t>individual</w:t>
      </w:r>
      <w:r w:rsidRPr="00D33391">
        <w:t xml:space="preserve"> before the </w:t>
      </w:r>
      <w:r>
        <w:t>TOP</w:t>
      </w:r>
      <w:r w:rsidRPr="00D33391">
        <w:t xml:space="preserve"> procedure. </w:t>
      </w:r>
      <w:r w:rsidR="00FE60A7">
        <w:t xml:space="preserve">Information outlined under 3.1 Right to Information </w:t>
      </w:r>
      <w:r w:rsidRPr="00D33391">
        <w:t xml:space="preserve">should be provided to all </w:t>
      </w:r>
      <w:r w:rsidR="007E04D7">
        <w:t>individual</w:t>
      </w:r>
      <w:r w:rsidRPr="00D33391">
        <w:t xml:space="preserve">s before obtaining their consent.  </w:t>
      </w:r>
    </w:p>
    <w:p w14:paraId="4BBD66AA" w14:textId="77777777" w:rsidR="00BD4E95" w:rsidRDefault="00BD4E95" w:rsidP="00BD4E95">
      <w:bookmarkStart w:id="63" w:name="_Toc525688595"/>
    </w:p>
    <w:p w14:paraId="201B4D20" w14:textId="77777777" w:rsidR="00FE60A7" w:rsidRDefault="00FE60A7" w:rsidP="00BD4E95">
      <w:pPr>
        <w:rPr>
          <w:b/>
        </w:rPr>
      </w:pPr>
    </w:p>
    <w:p w14:paraId="5CF827CD" w14:textId="77777777" w:rsidR="00FE60A7" w:rsidRDefault="00FE60A7" w:rsidP="00BD4E95">
      <w:pPr>
        <w:rPr>
          <w:b/>
        </w:rPr>
      </w:pPr>
    </w:p>
    <w:p w14:paraId="402321C0" w14:textId="77777777" w:rsidR="00FE60A7" w:rsidRDefault="00FE60A7" w:rsidP="00BD4E95">
      <w:pPr>
        <w:rPr>
          <w:b/>
        </w:rPr>
      </w:pPr>
    </w:p>
    <w:p w14:paraId="0F3BB0A3" w14:textId="77777777" w:rsidR="00FE60A7" w:rsidRDefault="00FE60A7" w:rsidP="00BD4E95">
      <w:pPr>
        <w:rPr>
          <w:b/>
        </w:rPr>
      </w:pPr>
    </w:p>
    <w:p w14:paraId="51596629" w14:textId="77777777" w:rsidR="00FE60A7" w:rsidRDefault="00FE60A7" w:rsidP="00BD4E95">
      <w:pPr>
        <w:rPr>
          <w:b/>
        </w:rPr>
      </w:pPr>
    </w:p>
    <w:p w14:paraId="3F0B39E5" w14:textId="77777777" w:rsidR="00FE60A7" w:rsidRDefault="00FE60A7" w:rsidP="00BD4E95">
      <w:pPr>
        <w:rPr>
          <w:b/>
        </w:rPr>
      </w:pPr>
    </w:p>
    <w:p w14:paraId="4D7CCD4D" w14:textId="77777777" w:rsidR="00FE60A7" w:rsidRDefault="00FE60A7" w:rsidP="00BD4E95">
      <w:pPr>
        <w:rPr>
          <w:b/>
        </w:rPr>
      </w:pPr>
    </w:p>
    <w:p w14:paraId="7D104040" w14:textId="77777777" w:rsidR="00FE60A7" w:rsidRDefault="00FE60A7" w:rsidP="00BD4E95">
      <w:pPr>
        <w:rPr>
          <w:b/>
        </w:rPr>
      </w:pPr>
    </w:p>
    <w:p w14:paraId="3E6047A5" w14:textId="77777777" w:rsidR="00FE60A7" w:rsidRDefault="00FE60A7" w:rsidP="00BD4E95">
      <w:pPr>
        <w:rPr>
          <w:b/>
        </w:rPr>
      </w:pPr>
    </w:p>
    <w:p w14:paraId="138BE5FC" w14:textId="77777777" w:rsidR="00FE60A7" w:rsidRDefault="00FE60A7" w:rsidP="00BD4E95">
      <w:pPr>
        <w:rPr>
          <w:b/>
        </w:rPr>
      </w:pPr>
    </w:p>
    <w:p w14:paraId="783965B9" w14:textId="77777777" w:rsidR="00FE60A7" w:rsidRDefault="00FE60A7" w:rsidP="00BD4E95">
      <w:pPr>
        <w:rPr>
          <w:b/>
        </w:rPr>
      </w:pPr>
    </w:p>
    <w:p w14:paraId="25A87CC1" w14:textId="77777777" w:rsidR="00FE60A7" w:rsidRDefault="00FE60A7" w:rsidP="00BD4E95">
      <w:pPr>
        <w:rPr>
          <w:b/>
        </w:rPr>
      </w:pPr>
    </w:p>
    <w:p w14:paraId="4474C1FF" w14:textId="4D007580" w:rsidR="00BA14DC" w:rsidRPr="00BD4E95" w:rsidRDefault="00BA14DC" w:rsidP="00BD4E95">
      <w:pPr>
        <w:rPr>
          <w:b/>
        </w:rPr>
      </w:pPr>
      <w:r w:rsidRPr="00BD4E95">
        <w:rPr>
          <w:b/>
        </w:rPr>
        <w:lastRenderedPageBreak/>
        <w:t>Standard process for obtaining consent</w:t>
      </w:r>
      <w:bookmarkEnd w:id="63"/>
    </w:p>
    <w:p w14:paraId="4E4319C5" w14:textId="720441D4" w:rsidR="00BA14DC" w:rsidRDefault="00BA14DC" w:rsidP="00BD4E95">
      <w:r w:rsidRPr="00D33391">
        <w:t xml:space="preserve">The standard process for </w:t>
      </w:r>
      <w:r>
        <w:t xml:space="preserve">obtaining consent (see </w:t>
      </w:r>
      <w:r w:rsidR="009A2CED">
        <w:fldChar w:fldCharType="begin"/>
      </w:r>
      <w:r w:rsidR="009A2CED">
        <w:instrText xml:space="preserve"> REF _Ref531265329 \h </w:instrText>
      </w:r>
      <w:r w:rsidR="009A2CED">
        <w:fldChar w:fldCharType="separate"/>
      </w:r>
      <w:r w:rsidR="009A2CED">
        <w:t xml:space="preserve">Figure </w:t>
      </w:r>
      <w:r w:rsidR="009A2CED">
        <w:rPr>
          <w:noProof/>
        </w:rPr>
        <w:t>1</w:t>
      </w:r>
      <w:r w:rsidR="009A2CED">
        <w:fldChar w:fldCharType="end"/>
      </w:r>
      <w:r w:rsidRPr="00D33391">
        <w:t xml:space="preserve">) should be followed for all </w:t>
      </w:r>
      <w:r w:rsidR="007E04D7">
        <w:t>individual</w:t>
      </w:r>
      <w:r w:rsidRPr="00D33391">
        <w:t xml:space="preserve">s before an </w:t>
      </w:r>
      <w:r>
        <w:t>TOP</w:t>
      </w:r>
      <w:r w:rsidRPr="00D33391">
        <w:t xml:space="preserve"> procedure is performed. </w:t>
      </w:r>
      <w:r w:rsidR="00947049">
        <w:t xml:space="preserve">The procedure for signing a consent is the same regardless of age. </w:t>
      </w:r>
      <w:r w:rsidRPr="00D33391">
        <w:t xml:space="preserve"> </w:t>
      </w:r>
      <w:r w:rsidR="008908CF">
        <w:t>Note: Annexure B as re</w:t>
      </w:r>
      <w:r w:rsidR="00F114D2">
        <w:t>ferenced in Figure 1 is found in</w:t>
      </w:r>
      <w:r w:rsidR="008908CF">
        <w:t xml:space="preserve"> Annex 3b in this guideline. </w:t>
      </w:r>
    </w:p>
    <w:p w14:paraId="217F6393" w14:textId="77777777" w:rsidR="008908CF" w:rsidRDefault="008908CF" w:rsidP="00BD4E95"/>
    <w:p w14:paraId="464D9BB5" w14:textId="5689377D" w:rsidR="00C02144" w:rsidRDefault="00C02144" w:rsidP="00F97B16"/>
    <w:p w14:paraId="56E7676C" w14:textId="65A4EA66" w:rsidR="00836D97" w:rsidRDefault="008908CF" w:rsidP="00B0563A">
      <w:pPr>
        <w:keepNext/>
      </w:pPr>
      <w:r w:rsidRPr="008908CF">
        <w:rPr>
          <w:noProof/>
          <w:lang w:val="en-ZA" w:eastAsia="en-ZA"/>
        </w:rPr>
        <w:drawing>
          <wp:inline distT="0" distB="0" distL="0" distR="0" wp14:anchorId="02C145CB" wp14:editId="5FF2F30E">
            <wp:extent cx="5403560" cy="39816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5202" cy="3982872"/>
                    </a:xfrm>
                    <a:prstGeom prst="rect">
                      <a:avLst/>
                    </a:prstGeom>
                  </pic:spPr>
                </pic:pic>
              </a:graphicData>
            </a:graphic>
          </wp:inline>
        </w:drawing>
      </w:r>
    </w:p>
    <w:p w14:paraId="690EC645" w14:textId="2FA98BAB" w:rsidR="00F97B16" w:rsidRPr="00ED6785" w:rsidRDefault="00836D97" w:rsidP="00836D97">
      <w:pPr>
        <w:pStyle w:val="Caption"/>
        <w:rPr>
          <w:sz w:val="20"/>
        </w:rPr>
      </w:pPr>
      <w:bookmarkStart w:id="64" w:name="_Ref531265329"/>
      <w:bookmarkStart w:id="65" w:name="_Toc8387232"/>
      <w:bookmarkStart w:id="66" w:name="_Ref531265325"/>
      <w:r w:rsidRPr="00ED6785">
        <w:rPr>
          <w:sz w:val="20"/>
        </w:rPr>
        <w:t xml:space="preserve">Figure </w:t>
      </w:r>
      <w:r w:rsidRPr="00ED6785">
        <w:rPr>
          <w:sz w:val="20"/>
        </w:rPr>
        <w:fldChar w:fldCharType="begin"/>
      </w:r>
      <w:r w:rsidRPr="00ED6785">
        <w:rPr>
          <w:sz w:val="20"/>
        </w:rPr>
        <w:instrText xml:space="preserve"> SEQ Figure \* ARABIC </w:instrText>
      </w:r>
      <w:r w:rsidRPr="00ED6785">
        <w:rPr>
          <w:sz w:val="20"/>
        </w:rPr>
        <w:fldChar w:fldCharType="separate"/>
      </w:r>
      <w:r w:rsidR="00230F53" w:rsidRPr="00ED6785">
        <w:rPr>
          <w:noProof/>
          <w:sz w:val="20"/>
        </w:rPr>
        <w:t>1</w:t>
      </w:r>
      <w:r w:rsidRPr="00ED6785">
        <w:rPr>
          <w:sz w:val="20"/>
        </w:rPr>
        <w:fldChar w:fldCharType="end"/>
      </w:r>
      <w:bookmarkEnd w:id="64"/>
      <w:r w:rsidRPr="00ED6785">
        <w:rPr>
          <w:sz w:val="20"/>
        </w:rPr>
        <w:t>. Standard proce</w:t>
      </w:r>
      <w:r w:rsidR="00ED6785">
        <w:rPr>
          <w:sz w:val="20"/>
        </w:rPr>
        <w:t>ss for informed consent</w:t>
      </w:r>
      <w:bookmarkEnd w:id="65"/>
      <w:r w:rsidR="00ED6785">
        <w:rPr>
          <w:sz w:val="20"/>
        </w:rPr>
        <w:t xml:space="preserve"> </w:t>
      </w:r>
      <w:bookmarkEnd w:id="66"/>
    </w:p>
    <w:p w14:paraId="0C1B1B1A" w14:textId="31926292" w:rsidR="00F319D2" w:rsidRDefault="00F319D2" w:rsidP="00F97B16"/>
    <w:p w14:paraId="57DC52C7" w14:textId="3A609108" w:rsidR="00C629B9" w:rsidRDefault="00C629B9" w:rsidP="00F97B16"/>
    <w:p w14:paraId="25A8B999" w14:textId="54E4E651" w:rsidR="00C629B9" w:rsidRDefault="00C629B9">
      <w:pPr>
        <w:spacing w:line="240" w:lineRule="auto"/>
      </w:pPr>
      <w:r>
        <w:br w:type="page"/>
      </w:r>
    </w:p>
    <w:p w14:paraId="696A73EC" w14:textId="63DC4052" w:rsidR="00C629B9" w:rsidRPr="00507D47" w:rsidRDefault="00C629B9" w:rsidP="00C629B9">
      <w:pPr>
        <w:pStyle w:val="Heading1"/>
        <w:rPr>
          <w:rFonts w:eastAsia="Arial"/>
        </w:rPr>
      </w:pPr>
      <w:bookmarkStart w:id="67" w:name="_Toc525688596"/>
      <w:bookmarkStart w:id="68" w:name="_Toc8387203"/>
      <w:r w:rsidRPr="00507D47">
        <w:lastRenderedPageBreak/>
        <w:t>Clinical care</w:t>
      </w:r>
      <w:bookmarkEnd w:id="67"/>
      <w:bookmarkEnd w:id="68"/>
      <w:r w:rsidRPr="00507D47">
        <w:t xml:space="preserve"> </w:t>
      </w:r>
    </w:p>
    <w:p w14:paraId="76AEAF38" w14:textId="77777777" w:rsidR="00C629B9" w:rsidRDefault="00C629B9" w:rsidP="00C629B9">
      <w:pPr>
        <w:rPr>
          <w:color w:val="000000" w:themeColor="text1"/>
        </w:rPr>
      </w:pPr>
    </w:p>
    <w:p w14:paraId="33EE1E0B" w14:textId="38D45B3F" w:rsidR="00C629B9" w:rsidRPr="00E922E4" w:rsidRDefault="00C629B9" w:rsidP="00C629B9">
      <w:pPr>
        <w:rPr>
          <w:color w:val="000000" w:themeColor="text1"/>
        </w:rPr>
      </w:pPr>
      <w:r w:rsidRPr="00E922E4">
        <w:rPr>
          <w:color w:val="000000" w:themeColor="text1"/>
        </w:rPr>
        <w:t xml:space="preserve">This section addresses the clinical management of TOP </w:t>
      </w:r>
      <w:r w:rsidR="007E04D7">
        <w:rPr>
          <w:color w:val="000000" w:themeColor="text1"/>
        </w:rPr>
        <w:t>individual</w:t>
      </w:r>
      <w:r w:rsidRPr="00E922E4">
        <w:rPr>
          <w:color w:val="000000" w:themeColor="text1"/>
        </w:rPr>
        <w:t xml:space="preserve">s </w:t>
      </w:r>
      <w:r w:rsidR="00F10785">
        <w:rPr>
          <w:color w:val="000000" w:themeColor="text1"/>
        </w:rPr>
        <w:t xml:space="preserve">and outlines the essential components of providing clinical care before, during, and after provision of </w:t>
      </w:r>
      <w:r>
        <w:rPr>
          <w:color w:val="000000" w:themeColor="text1"/>
        </w:rPr>
        <w:t>termination of pregnancy</w:t>
      </w:r>
      <w:r w:rsidR="00F10785">
        <w:rPr>
          <w:color w:val="000000" w:themeColor="text1"/>
        </w:rPr>
        <w:t xml:space="preserve"> services.</w:t>
      </w:r>
      <w:r w:rsidR="00A4224A">
        <w:rPr>
          <w:color w:val="000000" w:themeColor="text1"/>
        </w:rPr>
        <w:t xml:space="preserve"> The following publications have been used as evidence-based references for the clinical care guidance in this section: WHO Clinical Practice Handbook for Safe Abortion (2014), WHO Medical management of abortion (2018) and the Royal College of Obstetricians &amp; Gynaecologists, Best practice in comprehensive abortion care (2015).  </w:t>
      </w:r>
    </w:p>
    <w:p w14:paraId="555050A8" w14:textId="77777777" w:rsidR="00C629B9" w:rsidRDefault="00C629B9" w:rsidP="00C629B9">
      <w:bookmarkStart w:id="69" w:name="_Toc525688597"/>
    </w:p>
    <w:p w14:paraId="510368C2" w14:textId="1DE5B2F3" w:rsidR="00C629B9" w:rsidRPr="00507D47" w:rsidRDefault="00C629B9" w:rsidP="00C629B9">
      <w:pPr>
        <w:pStyle w:val="Heading2"/>
      </w:pPr>
      <w:bookmarkStart w:id="70" w:name="_Toc8387204"/>
      <w:r>
        <w:t>TOP</w:t>
      </w:r>
      <w:r w:rsidRPr="00507D47">
        <w:t xml:space="preserve"> </w:t>
      </w:r>
      <w:r w:rsidR="002106C2">
        <w:t>s</w:t>
      </w:r>
      <w:r w:rsidRPr="00507D47">
        <w:t xml:space="preserve">ervice </w:t>
      </w:r>
      <w:r w:rsidR="002106C2">
        <w:t>d</w:t>
      </w:r>
      <w:r w:rsidRPr="00507D47">
        <w:t xml:space="preserve">elivery </w:t>
      </w:r>
      <w:r w:rsidR="002106C2">
        <w:t>a</w:t>
      </w:r>
      <w:r w:rsidRPr="00507D47">
        <w:t>lgorithm</w:t>
      </w:r>
      <w:bookmarkEnd w:id="69"/>
      <w:bookmarkEnd w:id="70"/>
    </w:p>
    <w:p w14:paraId="17F7ED09" w14:textId="77777777" w:rsidR="00C629B9" w:rsidRDefault="00C629B9" w:rsidP="00C629B9"/>
    <w:p w14:paraId="0AD6AF60" w14:textId="36200863" w:rsidR="00C629B9" w:rsidRDefault="00C629B9" w:rsidP="00C629B9">
      <w:r w:rsidRPr="000014A2">
        <w:t xml:space="preserve">All </w:t>
      </w:r>
      <w:r w:rsidR="007E04D7">
        <w:t>individual</w:t>
      </w:r>
      <w:r w:rsidRPr="000014A2">
        <w:t xml:space="preserve">s who </w:t>
      </w:r>
      <w:r w:rsidR="00F10785">
        <w:t xml:space="preserve">request or </w:t>
      </w:r>
      <w:r w:rsidRPr="000014A2">
        <w:t xml:space="preserve">need </w:t>
      </w:r>
      <w:r>
        <w:t>TOP</w:t>
      </w:r>
      <w:r w:rsidRPr="000014A2">
        <w:t xml:space="preserve"> services should enter the health system at the primary health care level</w:t>
      </w:r>
      <w:r>
        <w:t xml:space="preserve">. However, TOP services can only be offered in a facility that fulfils the criteria outlined in </w:t>
      </w:r>
      <w:r w:rsidR="00887A46">
        <w:fldChar w:fldCharType="begin"/>
      </w:r>
      <w:r w:rsidR="00887A46">
        <w:instrText xml:space="preserve"> REF _Ref531260955 \h </w:instrText>
      </w:r>
      <w:r w:rsidR="00887A46">
        <w:fldChar w:fldCharType="separate"/>
      </w:r>
      <w:r w:rsidR="00887A46">
        <w:t xml:space="preserve">Table </w:t>
      </w:r>
      <w:r w:rsidR="00887A46">
        <w:rPr>
          <w:noProof/>
        </w:rPr>
        <w:t>2</w:t>
      </w:r>
      <w:r w:rsidR="00887A46">
        <w:fldChar w:fldCharType="end"/>
      </w:r>
      <w:r w:rsidRPr="00337679">
        <w:t>.</w:t>
      </w:r>
      <w:r>
        <w:t xml:space="preserve"> All facilities that do not fulfil </w:t>
      </w:r>
      <w:r w:rsidR="00F10785">
        <w:t>these criteria</w:t>
      </w:r>
      <w:r>
        <w:t xml:space="preserve"> should fully assess and refer </w:t>
      </w:r>
      <w:r w:rsidR="007E04D7">
        <w:t>individual</w:t>
      </w:r>
      <w:r>
        <w:t xml:space="preserve">s to the nearest facility that is known to provide TOP at the gestation </w:t>
      </w:r>
      <w:r w:rsidR="00887A46">
        <w:t xml:space="preserve">the </w:t>
      </w:r>
      <w:r w:rsidR="007E04D7">
        <w:t>individual</w:t>
      </w:r>
      <w:r>
        <w:t xml:space="preserve"> requires.</w:t>
      </w:r>
    </w:p>
    <w:p w14:paraId="4D2EA930" w14:textId="77777777" w:rsidR="00A609DC" w:rsidRDefault="00A609DC" w:rsidP="00C629B9"/>
    <w:p w14:paraId="65E33F4D" w14:textId="53609988" w:rsidR="00A609DC" w:rsidRDefault="00835E69" w:rsidP="00A609DC">
      <w:pPr>
        <w:keepNext/>
      </w:pPr>
      <w:r w:rsidRPr="00835E69">
        <w:rPr>
          <w:noProof/>
          <w:lang w:val="en-ZA" w:eastAsia="en-ZA"/>
        </w:rPr>
        <w:lastRenderedPageBreak/>
        <w:drawing>
          <wp:inline distT="0" distB="0" distL="0" distR="0" wp14:anchorId="3BEECD8C" wp14:editId="28AAD128">
            <wp:extent cx="5739897" cy="5307565"/>
            <wp:effectExtent l="0" t="0" r="635"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44829" cy="5312125"/>
                    </a:xfrm>
                    <a:prstGeom prst="rect">
                      <a:avLst/>
                    </a:prstGeom>
                  </pic:spPr>
                </pic:pic>
              </a:graphicData>
            </a:graphic>
          </wp:inline>
        </w:drawing>
      </w:r>
    </w:p>
    <w:p w14:paraId="6A2AEC0C" w14:textId="798A5660" w:rsidR="00A609DC" w:rsidRPr="00A11E09" w:rsidRDefault="00A609DC" w:rsidP="00A609DC">
      <w:pPr>
        <w:pStyle w:val="Caption"/>
        <w:rPr>
          <w:sz w:val="20"/>
        </w:rPr>
      </w:pPr>
      <w:bookmarkStart w:id="71" w:name="_Toc8387233"/>
      <w:r w:rsidRPr="00A11E09">
        <w:rPr>
          <w:sz w:val="20"/>
        </w:rPr>
        <w:t xml:space="preserve">Figure </w:t>
      </w:r>
      <w:r w:rsidRPr="00A11E09">
        <w:rPr>
          <w:sz w:val="20"/>
        </w:rPr>
        <w:fldChar w:fldCharType="begin"/>
      </w:r>
      <w:r w:rsidRPr="00A11E09">
        <w:rPr>
          <w:sz w:val="20"/>
        </w:rPr>
        <w:instrText xml:space="preserve"> SEQ Figure \* ARABIC </w:instrText>
      </w:r>
      <w:r w:rsidRPr="00A11E09">
        <w:rPr>
          <w:sz w:val="20"/>
        </w:rPr>
        <w:fldChar w:fldCharType="separate"/>
      </w:r>
      <w:r w:rsidR="00230F53" w:rsidRPr="00A11E09">
        <w:rPr>
          <w:noProof/>
          <w:sz w:val="20"/>
        </w:rPr>
        <w:t>2</w:t>
      </w:r>
      <w:r w:rsidRPr="00A11E09">
        <w:rPr>
          <w:sz w:val="20"/>
        </w:rPr>
        <w:fldChar w:fldCharType="end"/>
      </w:r>
      <w:r w:rsidRPr="00A11E09">
        <w:rPr>
          <w:sz w:val="20"/>
        </w:rPr>
        <w:t>. TOP service delivery and referral algorithm</w:t>
      </w:r>
      <w:bookmarkEnd w:id="71"/>
    </w:p>
    <w:p w14:paraId="2C1CA911" w14:textId="25919E8C" w:rsidR="00F33408" w:rsidRPr="00507D47" w:rsidRDefault="00F33408" w:rsidP="002106C2">
      <w:pPr>
        <w:pStyle w:val="Heading2"/>
      </w:pPr>
      <w:bookmarkStart w:id="72" w:name="_Toc525688598"/>
      <w:bookmarkStart w:id="73" w:name="_Toc8387205"/>
      <w:r w:rsidRPr="00507D47">
        <w:t xml:space="preserve">Clinical </w:t>
      </w:r>
      <w:r w:rsidR="002106C2">
        <w:t>a</w:t>
      </w:r>
      <w:r w:rsidRPr="00507D47">
        <w:t>ssessment</w:t>
      </w:r>
      <w:bookmarkEnd w:id="72"/>
      <w:bookmarkEnd w:id="73"/>
      <w:r w:rsidRPr="00507D47">
        <w:t xml:space="preserve"> </w:t>
      </w:r>
    </w:p>
    <w:p w14:paraId="20F79DDE" w14:textId="77777777" w:rsidR="002106C2" w:rsidRDefault="002106C2" w:rsidP="00F33408"/>
    <w:p w14:paraId="628EBB34" w14:textId="35385965" w:rsidR="00F33408" w:rsidRDefault="00F33408" w:rsidP="00F33408">
      <w:r w:rsidRPr="00F371BD">
        <w:t>A</w:t>
      </w:r>
      <w:r w:rsidR="00775353">
        <w:t>n</w:t>
      </w:r>
      <w:r w:rsidRPr="00F371BD">
        <w:t xml:space="preserve"> </w:t>
      </w:r>
      <w:r w:rsidR="007E04D7">
        <w:t>individual</w:t>
      </w:r>
      <w:r w:rsidRPr="00F371BD">
        <w:t xml:space="preserve"> presenting at a primary care provider (clinic, community health centre,</w:t>
      </w:r>
      <w:r>
        <w:t xml:space="preserve"> or</w:t>
      </w:r>
      <w:r w:rsidR="00381848">
        <w:t xml:space="preserve"> general practitioner) and</w:t>
      </w:r>
      <w:r w:rsidRPr="00F371BD">
        <w:t xml:space="preserve"> requ</w:t>
      </w:r>
      <w:r w:rsidR="00381848">
        <w:t>esting termination of pregnancy</w:t>
      </w:r>
      <w:r w:rsidRPr="00F371BD">
        <w:t xml:space="preserve"> should </w:t>
      </w:r>
      <w:r>
        <w:t xml:space="preserve">be fully assessed.  </w:t>
      </w:r>
    </w:p>
    <w:p w14:paraId="592748C4" w14:textId="77777777" w:rsidR="002106C2" w:rsidRDefault="002106C2" w:rsidP="00F33408">
      <w:bookmarkStart w:id="74" w:name="_Toc525688599"/>
    </w:p>
    <w:p w14:paraId="18B0A56A" w14:textId="073CC37D" w:rsidR="00F33408" w:rsidRPr="002106C2" w:rsidRDefault="00F33408" w:rsidP="00F33408">
      <w:pPr>
        <w:rPr>
          <w:b/>
        </w:rPr>
      </w:pPr>
      <w:r w:rsidRPr="002106C2">
        <w:rPr>
          <w:b/>
        </w:rPr>
        <w:t xml:space="preserve">Medical </w:t>
      </w:r>
      <w:r w:rsidR="002106C2">
        <w:rPr>
          <w:b/>
        </w:rPr>
        <w:t>h</w:t>
      </w:r>
      <w:r w:rsidRPr="002106C2">
        <w:rPr>
          <w:b/>
        </w:rPr>
        <w:t xml:space="preserve">istory and </w:t>
      </w:r>
      <w:r w:rsidR="002106C2">
        <w:rPr>
          <w:b/>
        </w:rPr>
        <w:t>p</w:t>
      </w:r>
      <w:r w:rsidRPr="002106C2">
        <w:rPr>
          <w:b/>
        </w:rPr>
        <w:t xml:space="preserve">hysical </w:t>
      </w:r>
      <w:r w:rsidR="002106C2">
        <w:rPr>
          <w:b/>
        </w:rPr>
        <w:t>e</w:t>
      </w:r>
      <w:r w:rsidRPr="002106C2">
        <w:rPr>
          <w:b/>
        </w:rPr>
        <w:t>xamination</w:t>
      </w:r>
      <w:bookmarkEnd w:id="74"/>
      <w:r w:rsidRPr="002106C2">
        <w:rPr>
          <w:b/>
        </w:rPr>
        <w:t xml:space="preserve"> </w:t>
      </w:r>
    </w:p>
    <w:p w14:paraId="4BC6A016" w14:textId="77777777" w:rsidR="00F33408" w:rsidRPr="00AF329E" w:rsidRDefault="00F33408" w:rsidP="00F33408">
      <w:pPr>
        <w:rPr>
          <w:sz w:val="2"/>
        </w:rPr>
      </w:pPr>
    </w:p>
    <w:p w14:paraId="5685261B" w14:textId="3B8B30C7" w:rsidR="00F33408" w:rsidRDefault="00F33408" w:rsidP="00F33408">
      <w:r>
        <w:t xml:space="preserve">Service providers should obtain a complete medical history of the </w:t>
      </w:r>
      <w:r w:rsidR="007E04D7">
        <w:t>individual</w:t>
      </w:r>
      <w:r>
        <w:t xml:space="preserve">, including contraindications to medical or surgical </w:t>
      </w:r>
      <w:r w:rsidR="00822B7C">
        <w:t>TOP</w:t>
      </w:r>
      <w:r w:rsidR="00247F1C">
        <w:t xml:space="preserve"> methods,</w:t>
      </w:r>
      <w:r>
        <w:t xml:space="preserve"> to identify risk factors for complications of treatment. </w:t>
      </w:r>
    </w:p>
    <w:p w14:paraId="1A4D9FBF" w14:textId="77777777" w:rsidR="00822B7C" w:rsidRDefault="00822B7C" w:rsidP="00F33408">
      <w:pPr>
        <w:rPr>
          <w:b/>
        </w:rPr>
      </w:pPr>
    </w:p>
    <w:p w14:paraId="4D13B273" w14:textId="1C1CDCC1" w:rsidR="00F33408" w:rsidRPr="00822B7C" w:rsidRDefault="00F33408" w:rsidP="00F33408">
      <w:pPr>
        <w:rPr>
          <w:i/>
        </w:rPr>
      </w:pPr>
      <w:r w:rsidRPr="00822B7C">
        <w:rPr>
          <w:i/>
        </w:rPr>
        <w:t xml:space="preserve">Medical history-taking should include: </w:t>
      </w:r>
    </w:p>
    <w:p w14:paraId="07B1BB0D" w14:textId="0414C06B" w:rsidR="00F33408" w:rsidRPr="00822B7C" w:rsidRDefault="00822B7C" w:rsidP="00420B1E">
      <w:pPr>
        <w:pStyle w:val="ListParagraph"/>
        <w:numPr>
          <w:ilvl w:val="0"/>
          <w:numId w:val="3"/>
        </w:numPr>
        <w:rPr>
          <w:lang w:val="en-ZA"/>
        </w:rPr>
      </w:pPr>
      <w:r>
        <w:rPr>
          <w:lang w:val="en-ZA"/>
        </w:rPr>
        <w:t>P</w:t>
      </w:r>
      <w:r w:rsidR="00F33408" w:rsidRPr="00822B7C">
        <w:rPr>
          <w:lang w:val="en-ZA"/>
        </w:rPr>
        <w:t>ersonal and family history of relevant diseases</w:t>
      </w:r>
    </w:p>
    <w:p w14:paraId="486189F5" w14:textId="41A5DFA0" w:rsidR="00F33408" w:rsidRPr="00822B7C" w:rsidRDefault="00822B7C" w:rsidP="00420B1E">
      <w:pPr>
        <w:pStyle w:val="ListParagraph"/>
        <w:numPr>
          <w:ilvl w:val="0"/>
          <w:numId w:val="3"/>
        </w:numPr>
        <w:rPr>
          <w:lang w:val="en-ZA"/>
        </w:rPr>
      </w:pPr>
      <w:r>
        <w:rPr>
          <w:lang w:val="en-ZA"/>
        </w:rPr>
        <w:t>O</w:t>
      </w:r>
      <w:r w:rsidR="00F33408" w:rsidRPr="00822B7C">
        <w:rPr>
          <w:lang w:val="en-ZA"/>
        </w:rPr>
        <w:t>bstetric and gynaecologic history, including previous ectopic pregnancy</w:t>
      </w:r>
    </w:p>
    <w:p w14:paraId="60F66A99" w14:textId="1718010D" w:rsidR="00F33408" w:rsidRPr="00822B7C" w:rsidRDefault="00822B7C" w:rsidP="00420B1E">
      <w:pPr>
        <w:pStyle w:val="ListParagraph"/>
        <w:numPr>
          <w:ilvl w:val="0"/>
          <w:numId w:val="3"/>
        </w:numPr>
        <w:rPr>
          <w:lang w:val="en-ZA"/>
        </w:rPr>
      </w:pPr>
      <w:r>
        <w:rPr>
          <w:lang w:val="en-ZA"/>
        </w:rPr>
        <w:t>B</w:t>
      </w:r>
      <w:r w:rsidR="00F33408" w:rsidRPr="00822B7C">
        <w:rPr>
          <w:lang w:val="en-ZA"/>
        </w:rPr>
        <w:t xml:space="preserve">leeding tendencies or disorders </w:t>
      </w:r>
    </w:p>
    <w:p w14:paraId="68644D51" w14:textId="0CE956AE" w:rsidR="00F33408" w:rsidRPr="00822B7C" w:rsidRDefault="00822B7C" w:rsidP="00420B1E">
      <w:pPr>
        <w:pStyle w:val="ListParagraph"/>
        <w:numPr>
          <w:ilvl w:val="0"/>
          <w:numId w:val="3"/>
        </w:numPr>
        <w:rPr>
          <w:lang w:val="en-ZA"/>
        </w:rPr>
      </w:pPr>
      <w:r>
        <w:rPr>
          <w:lang w:val="en-ZA"/>
        </w:rPr>
        <w:lastRenderedPageBreak/>
        <w:t>H</w:t>
      </w:r>
      <w:r w:rsidR="00F33408" w:rsidRPr="00822B7C">
        <w:rPr>
          <w:lang w:val="en-ZA"/>
        </w:rPr>
        <w:t>istory of or presence of STIs</w:t>
      </w:r>
    </w:p>
    <w:p w14:paraId="6AF6FF2E" w14:textId="5AA5830B" w:rsidR="00F33408" w:rsidRPr="00822B7C" w:rsidRDefault="002F77CB" w:rsidP="00420B1E">
      <w:pPr>
        <w:pStyle w:val="ListParagraph"/>
        <w:numPr>
          <w:ilvl w:val="0"/>
          <w:numId w:val="3"/>
        </w:numPr>
        <w:rPr>
          <w:lang w:val="en-ZA"/>
        </w:rPr>
      </w:pPr>
      <w:r>
        <w:rPr>
          <w:lang w:val="en-ZA"/>
        </w:rPr>
        <w:t>C</w:t>
      </w:r>
      <w:r w:rsidR="00F33408" w:rsidRPr="00822B7C">
        <w:rPr>
          <w:lang w:val="en-ZA"/>
        </w:rPr>
        <w:t>urrent use of medications</w:t>
      </w:r>
    </w:p>
    <w:p w14:paraId="20A870FD" w14:textId="459150D7" w:rsidR="00F33408" w:rsidRPr="00822B7C" w:rsidRDefault="002F77CB" w:rsidP="00420B1E">
      <w:pPr>
        <w:pStyle w:val="ListParagraph"/>
        <w:numPr>
          <w:ilvl w:val="0"/>
          <w:numId w:val="3"/>
        </w:numPr>
        <w:rPr>
          <w:lang w:val="en-ZA"/>
        </w:rPr>
      </w:pPr>
      <w:r>
        <w:rPr>
          <w:lang w:val="en-ZA"/>
        </w:rPr>
        <w:t>K</w:t>
      </w:r>
      <w:r w:rsidR="00F33408" w:rsidRPr="00822B7C">
        <w:rPr>
          <w:lang w:val="en-ZA"/>
        </w:rPr>
        <w:t>nown allergies</w:t>
      </w:r>
    </w:p>
    <w:p w14:paraId="79035553" w14:textId="7FF495BB" w:rsidR="00F33408" w:rsidRPr="00822B7C" w:rsidRDefault="002F77CB" w:rsidP="00420B1E">
      <w:pPr>
        <w:pStyle w:val="ListParagraph"/>
        <w:numPr>
          <w:ilvl w:val="0"/>
          <w:numId w:val="3"/>
        </w:numPr>
        <w:rPr>
          <w:lang w:val="en-ZA"/>
        </w:rPr>
      </w:pPr>
      <w:r>
        <w:rPr>
          <w:lang w:val="en-ZA"/>
        </w:rPr>
        <w:t>R</w:t>
      </w:r>
      <w:r w:rsidR="00F33408" w:rsidRPr="00822B7C">
        <w:rPr>
          <w:lang w:val="en-ZA"/>
        </w:rPr>
        <w:t xml:space="preserve">isk assessment for violence or coercion. Service providers should be alert to the possibility of violence or coercion and offer counselling if violence or coercion is suspected. </w:t>
      </w:r>
    </w:p>
    <w:p w14:paraId="0FED52EE" w14:textId="77777777" w:rsidR="00F33408" w:rsidRDefault="00F33408" w:rsidP="00F33408">
      <w:pPr>
        <w:rPr>
          <w:b/>
        </w:rPr>
      </w:pPr>
    </w:p>
    <w:p w14:paraId="1E933F04" w14:textId="77777777" w:rsidR="00F33408" w:rsidRPr="002F77CB" w:rsidRDefault="00F33408" w:rsidP="00F33408">
      <w:pPr>
        <w:rPr>
          <w:i/>
        </w:rPr>
      </w:pPr>
      <w:r w:rsidRPr="002F77CB">
        <w:rPr>
          <w:i/>
        </w:rPr>
        <w:t>Conduct physical examination:</w:t>
      </w:r>
    </w:p>
    <w:p w14:paraId="11E54C08" w14:textId="241C5954" w:rsidR="00F33408" w:rsidRDefault="00F33408" w:rsidP="00F33408">
      <w:r>
        <w:t xml:space="preserve">This consists of using </w:t>
      </w:r>
      <w:r w:rsidRPr="008B6A38">
        <w:t>abdominal and pelvic examination</w:t>
      </w:r>
      <w:r>
        <w:t>s</w:t>
      </w:r>
      <w:r w:rsidRPr="008B6A38">
        <w:t xml:space="preserve"> (bi-manual and speculum examination</w:t>
      </w:r>
      <w:r>
        <w:t>s</w:t>
      </w:r>
      <w:r w:rsidRPr="008B6A38">
        <w:t>)</w:t>
      </w:r>
      <w:r>
        <w:t xml:space="preserve"> to help determine</w:t>
      </w:r>
      <w:r w:rsidR="003F64DA">
        <w:t xml:space="preserve"> last menstrual period (</w:t>
      </w:r>
      <w:r w:rsidRPr="003F64DA">
        <w:t>LMP</w:t>
      </w:r>
      <w:r w:rsidR="003F64DA" w:rsidRPr="003F64DA">
        <w:t>)</w:t>
      </w:r>
      <w:r w:rsidRPr="003F64DA">
        <w:t xml:space="preserve"> and</w:t>
      </w:r>
      <w:r>
        <w:t xml:space="preserve"> rule out ectopic pregnancies</w:t>
      </w:r>
      <w:r w:rsidRPr="008B6A38">
        <w:t xml:space="preserve">. </w:t>
      </w:r>
      <w:r>
        <w:t xml:space="preserve">Examinations should be conducted in the following sequence: </w:t>
      </w:r>
    </w:p>
    <w:p w14:paraId="24A27EA3" w14:textId="464C8E8F" w:rsidR="00F33408" w:rsidRPr="002F77CB" w:rsidRDefault="00F33408" w:rsidP="00420B1E">
      <w:pPr>
        <w:pStyle w:val="ListParagraph"/>
        <w:numPr>
          <w:ilvl w:val="0"/>
          <w:numId w:val="3"/>
        </w:numPr>
        <w:rPr>
          <w:lang w:val="en-ZA"/>
        </w:rPr>
      </w:pPr>
      <w:r w:rsidRPr="002F77CB">
        <w:rPr>
          <w:lang w:val="en-ZA"/>
        </w:rPr>
        <w:t>Confirm pregnancy by rapid pregnancy diagnostic test (urine or blood)</w:t>
      </w:r>
    </w:p>
    <w:p w14:paraId="1264D978" w14:textId="44A1D485" w:rsidR="00447006" w:rsidRPr="005D6AA5" w:rsidRDefault="009512A2" w:rsidP="005D6AA5">
      <w:pPr>
        <w:pStyle w:val="ListParagraph"/>
        <w:numPr>
          <w:ilvl w:val="0"/>
          <w:numId w:val="3"/>
        </w:numPr>
        <w:rPr>
          <w:lang w:val="en-ZA"/>
        </w:rPr>
      </w:pPr>
      <w:r>
        <w:t>Conduct abdominal palpation and bimanual examination to exclude ectopic pregnancy and determine gestational age</w:t>
      </w:r>
      <w:r w:rsidR="00447006">
        <w:t xml:space="preserve"> (see Annex 2)</w:t>
      </w:r>
      <w:r>
        <w:t xml:space="preserve">. </w:t>
      </w:r>
      <w:r w:rsidR="005D6AA5" w:rsidRPr="00FB3C39">
        <w:rPr>
          <w:b/>
          <w:lang w:val="en-ZA"/>
        </w:rPr>
        <w:t>Note that an ultrasound is not a pre-requisite for providing TOP.</w:t>
      </w:r>
      <w:r w:rsidR="005D6AA5" w:rsidRPr="00FB3C39">
        <w:rPr>
          <w:i/>
          <w:lang w:val="en-ZA"/>
        </w:rPr>
        <w:t xml:space="preserve"> </w:t>
      </w:r>
      <w:r w:rsidR="005D6AA5" w:rsidRPr="002F77CB">
        <w:rPr>
          <w:lang w:val="en-ZA"/>
        </w:rPr>
        <w:t xml:space="preserve">Where </w:t>
      </w:r>
      <w:r w:rsidR="005D6AA5">
        <w:rPr>
          <w:lang w:val="en-ZA"/>
        </w:rPr>
        <w:t xml:space="preserve">an </w:t>
      </w:r>
      <w:r w:rsidR="005D6AA5" w:rsidRPr="002F77CB">
        <w:rPr>
          <w:lang w:val="en-ZA"/>
        </w:rPr>
        <w:t xml:space="preserve">ultrasound is not available, clinical assessment of gestational age that agrees with LMP is acceptable. </w:t>
      </w:r>
    </w:p>
    <w:p w14:paraId="08E101BE" w14:textId="6DACB619" w:rsidR="00F33408" w:rsidRDefault="00F33408" w:rsidP="00447006">
      <w:pPr>
        <w:pStyle w:val="ListParagraph"/>
        <w:numPr>
          <w:ilvl w:val="1"/>
          <w:numId w:val="3"/>
        </w:numPr>
        <w:rPr>
          <w:lang w:val="en-ZA"/>
        </w:rPr>
      </w:pPr>
      <w:r w:rsidRPr="002F77CB">
        <w:rPr>
          <w:lang w:val="en-ZA"/>
        </w:rPr>
        <w:t>If suspected ectopic pregnancy,</w:t>
      </w:r>
      <w:r w:rsidR="00AC131C">
        <w:rPr>
          <w:lang w:val="en-ZA"/>
        </w:rPr>
        <w:t xml:space="preserve"> other abnormality</w:t>
      </w:r>
      <w:r w:rsidR="00AC131C" w:rsidRPr="002F77CB">
        <w:rPr>
          <w:lang w:val="en-ZA"/>
        </w:rPr>
        <w:t xml:space="preserve"> or other concern about the gestational age</w:t>
      </w:r>
      <w:r w:rsidRPr="002F77CB">
        <w:rPr>
          <w:lang w:val="en-ZA"/>
        </w:rPr>
        <w:t xml:space="preserve"> refer </w:t>
      </w:r>
      <w:r w:rsidR="007E04D7">
        <w:rPr>
          <w:lang w:val="en-ZA"/>
        </w:rPr>
        <w:t>individual</w:t>
      </w:r>
      <w:r w:rsidRPr="002F77CB">
        <w:rPr>
          <w:lang w:val="en-ZA"/>
        </w:rPr>
        <w:t xml:space="preserve"> to appropriate level of care</w:t>
      </w:r>
    </w:p>
    <w:p w14:paraId="65AE8448" w14:textId="467212AE" w:rsidR="00447006" w:rsidRDefault="00447006" w:rsidP="00447006">
      <w:pPr>
        <w:pStyle w:val="ListParagraph"/>
        <w:numPr>
          <w:ilvl w:val="1"/>
          <w:numId w:val="3"/>
        </w:numPr>
        <w:rPr>
          <w:lang w:val="en-ZA"/>
        </w:rPr>
      </w:pPr>
      <w:r w:rsidRPr="002F77CB">
        <w:rPr>
          <w:lang w:val="en-ZA"/>
        </w:rPr>
        <w:t xml:space="preserve">An irregular uterus on palpation could be suggestive of fibroids and should be treated as fibrous uterus. If suspected, refer </w:t>
      </w:r>
      <w:r w:rsidR="00947049">
        <w:rPr>
          <w:lang w:val="en-ZA"/>
        </w:rPr>
        <w:t>to appropriate level of care</w:t>
      </w:r>
    </w:p>
    <w:p w14:paraId="22FC92EA" w14:textId="220AE27E" w:rsidR="004B7C93" w:rsidRPr="00AC131C" w:rsidRDefault="00447006" w:rsidP="00AC131C">
      <w:pPr>
        <w:pStyle w:val="ListParagraph"/>
        <w:numPr>
          <w:ilvl w:val="0"/>
          <w:numId w:val="3"/>
        </w:numPr>
        <w:rPr>
          <w:lang w:val="en-ZA"/>
        </w:rPr>
      </w:pPr>
      <w:r w:rsidRPr="00447006">
        <w:rPr>
          <w:lang w:val="en-ZA"/>
        </w:rPr>
        <w:t>Conduct speculum examination to assess for bleeding, discharge or lesions. Women with signs and symptoms of a reproductive tract infection should be treated immediately and the procedure</w:t>
      </w:r>
      <w:bookmarkStart w:id="75" w:name="_Toc525688600"/>
      <w:r w:rsidR="00947049">
        <w:rPr>
          <w:lang w:val="en-ZA"/>
        </w:rPr>
        <w:t xml:space="preserve"> can be performed without delay</w:t>
      </w:r>
    </w:p>
    <w:p w14:paraId="71793368" w14:textId="77777777" w:rsidR="004B7C93" w:rsidRDefault="004B7C93" w:rsidP="009C5E74">
      <w:pPr>
        <w:keepNext/>
        <w:keepLines/>
        <w:rPr>
          <w:b/>
        </w:rPr>
      </w:pPr>
    </w:p>
    <w:p w14:paraId="097AE25F" w14:textId="4E9CD3E1" w:rsidR="00F33408" w:rsidRPr="003F64DA" w:rsidRDefault="00F33408" w:rsidP="009C5E74">
      <w:pPr>
        <w:keepNext/>
        <w:keepLines/>
        <w:rPr>
          <w:b/>
        </w:rPr>
      </w:pPr>
      <w:r w:rsidRPr="003F64DA">
        <w:rPr>
          <w:b/>
        </w:rPr>
        <w:t>Laboratory and other investigations</w:t>
      </w:r>
      <w:bookmarkEnd w:id="75"/>
      <w:r w:rsidRPr="003F64DA">
        <w:rPr>
          <w:b/>
        </w:rPr>
        <w:t xml:space="preserve"> </w:t>
      </w:r>
    </w:p>
    <w:p w14:paraId="4A4B1620" w14:textId="18DA5D7F" w:rsidR="00F33408" w:rsidRPr="008C5024" w:rsidRDefault="00F33408" w:rsidP="009C5E74">
      <w:pPr>
        <w:keepNext/>
        <w:keepLines/>
        <w:rPr>
          <w:lang w:val="en-CA"/>
        </w:rPr>
      </w:pPr>
      <w:r w:rsidRPr="008534DC">
        <w:rPr>
          <w:lang w:val="en-CA"/>
        </w:rPr>
        <w:t>Routine laboratory testing</w:t>
      </w:r>
      <w:r w:rsidRPr="008534DC">
        <w:rPr>
          <w:b/>
          <w:lang w:val="en-CA"/>
        </w:rPr>
        <w:t xml:space="preserve"> </w:t>
      </w:r>
      <w:r w:rsidRPr="008534DC">
        <w:rPr>
          <w:lang w:val="en-CA"/>
        </w:rPr>
        <w:t>is not a pre-requisite for TOP services</w:t>
      </w:r>
      <w:r w:rsidR="008534DC" w:rsidRPr="008534DC">
        <w:rPr>
          <w:lang w:val="en-CA"/>
        </w:rPr>
        <w:t xml:space="preserve"> and</w:t>
      </w:r>
      <w:r w:rsidR="008534DC" w:rsidRPr="008534DC">
        <w:rPr>
          <w:b/>
          <w:lang w:val="en-CA"/>
        </w:rPr>
        <w:t xml:space="preserve"> should not delay the TOP procedure</w:t>
      </w:r>
      <w:r w:rsidRPr="008534DC">
        <w:rPr>
          <w:b/>
          <w:lang w:val="en-CA"/>
        </w:rPr>
        <w:t>.</w:t>
      </w:r>
      <w:r w:rsidRPr="009C5E74">
        <w:rPr>
          <w:lang w:val="en-CA"/>
        </w:rPr>
        <w:t xml:space="preserve"> The following tests, when available, may be performed on the basis of individual risk factors, findings on physical examination, and available</w:t>
      </w:r>
      <w:r>
        <w:rPr>
          <w:lang w:val="en-CA"/>
        </w:rPr>
        <w:t xml:space="preserve"> resources</w:t>
      </w:r>
      <w:r w:rsidR="008534DC">
        <w:rPr>
          <w:lang w:val="en-CA"/>
        </w:rPr>
        <w:t>.</w:t>
      </w:r>
      <w:r>
        <w:rPr>
          <w:lang w:val="en-CA"/>
        </w:rPr>
        <w:t xml:space="preserve"> </w:t>
      </w:r>
    </w:p>
    <w:p w14:paraId="3D9CABA2" w14:textId="3984A73E" w:rsidR="00F33408" w:rsidRPr="009C5E74" w:rsidRDefault="009C5E74" w:rsidP="00420B1E">
      <w:pPr>
        <w:pStyle w:val="ListParagraph"/>
        <w:numPr>
          <w:ilvl w:val="0"/>
          <w:numId w:val="3"/>
        </w:numPr>
        <w:rPr>
          <w:lang w:val="en-ZA"/>
        </w:rPr>
      </w:pPr>
      <w:r>
        <w:rPr>
          <w:lang w:val="en-ZA"/>
        </w:rPr>
        <w:t>H</w:t>
      </w:r>
      <w:r w:rsidR="00F33408" w:rsidRPr="009C5E74">
        <w:rPr>
          <w:lang w:val="en-ZA"/>
        </w:rPr>
        <w:t>aemoglobin (Hb) or haematocrit for suspected anaemia</w:t>
      </w:r>
    </w:p>
    <w:p w14:paraId="3E712FCE" w14:textId="12A5F298" w:rsidR="00F33408" w:rsidRPr="009C5E74" w:rsidRDefault="00F33408" w:rsidP="00420B1E">
      <w:pPr>
        <w:pStyle w:val="ListParagraph"/>
        <w:numPr>
          <w:ilvl w:val="0"/>
          <w:numId w:val="3"/>
        </w:numPr>
        <w:rPr>
          <w:lang w:val="en-ZA"/>
        </w:rPr>
      </w:pPr>
      <w:r w:rsidRPr="009C5E74">
        <w:rPr>
          <w:lang w:val="en-ZA"/>
        </w:rPr>
        <w:t>Rhesus (Rh)-testing, where Rh-immunoglobulin is available for Rh-negative women</w:t>
      </w:r>
    </w:p>
    <w:p w14:paraId="1743D664" w14:textId="735D9857" w:rsidR="00F33408" w:rsidRPr="009C5E74" w:rsidRDefault="00F33408" w:rsidP="00420B1E">
      <w:pPr>
        <w:pStyle w:val="ListParagraph"/>
        <w:numPr>
          <w:ilvl w:val="0"/>
          <w:numId w:val="3"/>
        </w:numPr>
        <w:rPr>
          <w:lang w:val="en-ZA"/>
        </w:rPr>
      </w:pPr>
      <w:r w:rsidRPr="009C5E74">
        <w:rPr>
          <w:lang w:val="en-ZA"/>
        </w:rPr>
        <w:t>HIV testing/counselling</w:t>
      </w:r>
    </w:p>
    <w:p w14:paraId="20848B07" w14:textId="63333BFB" w:rsidR="00F33408" w:rsidRPr="009C5E74" w:rsidRDefault="00F33408" w:rsidP="00420B1E">
      <w:pPr>
        <w:pStyle w:val="ListParagraph"/>
        <w:numPr>
          <w:ilvl w:val="0"/>
          <w:numId w:val="3"/>
        </w:numPr>
        <w:rPr>
          <w:lang w:val="en-ZA"/>
        </w:rPr>
      </w:pPr>
      <w:r w:rsidRPr="009C5E74">
        <w:rPr>
          <w:lang w:val="en-ZA"/>
        </w:rPr>
        <w:t>STI screening (usually performed during the pelvic examination)</w:t>
      </w:r>
    </w:p>
    <w:p w14:paraId="17D65713" w14:textId="64F43B74" w:rsidR="00F33408" w:rsidRPr="009C5E74" w:rsidRDefault="00D948C3" w:rsidP="00420B1E">
      <w:pPr>
        <w:pStyle w:val="ListParagraph"/>
        <w:numPr>
          <w:ilvl w:val="0"/>
          <w:numId w:val="3"/>
        </w:numPr>
        <w:rPr>
          <w:lang w:val="en-ZA"/>
        </w:rPr>
      </w:pPr>
      <w:r>
        <w:rPr>
          <w:lang w:val="en-ZA"/>
        </w:rPr>
        <w:t>C</w:t>
      </w:r>
      <w:r w:rsidR="00F33408" w:rsidRPr="009C5E74">
        <w:rPr>
          <w:lang w:val="en-ZA"/>
        </w:rPr>
        <w:t>ervical cancer screening (performed during the pelvic examination)</w:t>
      </w:r>
    </w:p>
    <w:p w14:paraId="14D72AFA" w14:textId="0899C9EE" w:rsidR="00F33408" w:rsidRPr="009C5E74" w:rsidRDefault="00D948C3" w:rsidP="00420B1E">
      <w:pPr>
        <w:pStyle w:val="ListParagraph"/>
        <w:numPr>
          <w:ilvl w:val="0"/>
          <w:numId w:val="3"/>
        </w:numPr>
        <w:rPr>
          <w:lang w:val="en-CA"/>
        </w:rPr>
      </w:pPr>
      <w:r>
        <w:rPr>
          <w:lang w:val="en-ZA"/>
        </w:rPr>
        <w:t>O</w:t>
      </w:r>
      <w:r w:rsidR="00F33408" w:rsidRPr="009C5E74">
        <w:rPr>
          <w:lang w:val="en-ZA"/>
        </w:rPr>
        <w:t>ther laboratory tests as</w:t>
      </w:r>
      <w:r w:rsidR="00F33408" w:rsidRPr="009C5E74">
        <w:rPr>
          <w:lang w:val="en-CA"/>
        </w:rPr>
        <w:t xml:space="preserve"> indicated by medical history (kidney or liver function tests, etc.)</w:t>
      </w:r>
    </w:p>
    <w:p w14:paraId="6994EFCA" w14:textId="77777777" w:rsidR="00D948C3" w:rsidRDefault="00D948C3" w:rsidP="00F33408">
      <w:bookmarkStart w:id="76" w:name="_Toc525688601"/>
    </w:p>
    <w:p w14:paraId="1D987FB4" w14:textId="248FA4C7" w:rsidR="00F33408" w:rsidRPr="00D948C3" w:rsidRDefault="00F33408" w:rsidP="00B353F2">
      <w:pPr>
        <w:pStyle w:val="Heading2"/>
      </w:pPr>
      <w:bookmarkStart w:id="77" w:name="_Toc8387206"/>
      <w:r w:rsidRPr="00D948C3">
        <w:t>In</w:t>
      </w:r>
      <w:r w:rsidR="00947049">
        <w:t>fection prevention and c</w:t>
      </w:r>
      <w:r w:rsidRPr="00D948C3">
        <w:t>ontrol</w:t>
      </w:r>
      <w:bookmarkEnd w:id="76"/>
      <w:bookmarkEnd w:id="77"/>
      <w:r w:rsidRPr="00D948C3">
        <w:t xml:space="preserve">  </w:t>
      </w:r>
    </w:p>
    <w:p w14:paraId="2D0F0C92" w14:textId="77777777" w:rsidR="006C1B39" w:rsidRDefault="006C1B39" w:rsidP="00B353F2">
      <w:pPr>
        <w:keepNext/>
        <w:keepLines/>
        <w:rPr>
          <w:lang w:val="en-CA"/>
        </w:rPr>
      </w:pPr>
    </w:p>
    <w:p w14:paraId="7E67EFC8" w14:textId="66B2B2E4" w:rsidR="00F33408" w:rsidRDefault="00F33408" w:rsidP="00B353F2">
      <w:pPr>
        <w:keepNext/>
        <w:keepLines/>
        <w:rPr>
          <w:lang w:val="en-CA"/>
        </w:rPr>
      </w:pPr>
      <w:r w:rsidRPr="00451BE9">
        <w:rPr>
          <w:lang w:val="en-CA"/>
        </w:rPr>
        <w:t>Since TOP procedures involve c</w:t>
      </w:r>
      <w:r w:rsidR="008534DC">
        <w:rPr>
          <w:lang w:val="en-CA"/>
        </w:rPr>
        <w:t xml:space="preserve">ontact with blood and other bodily </w:t>
      </w:r>
      <w:r w:rsidRPr="00451BE9">
        <w:rPr>
          <w:lang w:val="en-CA"/>
        </w:rPr>
        <w:t xml:space="preserve">fluids, all clinical and support staff that provide these services should understand and apply standard precautions for infection prevention and control, for both their own protection and that of their patients. </w:t>
      </w:r>
      <w:r>
        <w:rPr>
          <w:lang w:val="en-CA"/>
        </w:rPr>
        <w:t>Requirements for infection prevention and control should be adhered to as per the South Africa Ideal Clinic Framework and Manual.</w:t>
      </w:r>
    </w:p>
    <w:p w14:paraId="54FD771C" w14:textId="77777777" w:rsidR="008534DC" w:rsidRDefault="008534DC" w:rsidP="00F33408">
      <w:pPr>
        <w:rPr>
          <w:lang w:val="en-CA"/>
        </w:rPr>
      </w:pPr>
    </w:p>
    <w:p w14:paraId="7466D239" w14:textId="7085B855" w:rsidR="00F33408" w:rsidRDefault="00F33408" w:rsidP="00F33408">
      <w:pPr>
        <w:rPr>
          <w:lang w:val="en-CA"/>
        </w:rPr>
      </w:pPr>
      <w:r>
        <w:rPr>
          <w:lang w:val="en-CA"/>
        </w:rPr>
        <w:lastRenderedPageBreak/>
        <w:t xml:space="preserve">The following should be noted with care: </w:t>
      </w:r>
    </w:p>
    <w:p w14:paraId="279BDD9A" w14:textId="6866F304" w:rsidR="00F33408" w:rsidRPr="00050CEF" w:rsidRDefault="00F33408" w:rsidP="00420B1E">
      <w:pPr>
        <w:pStyle w:val="ListParagraph"/>
        <w:numPr>
          <w:ilvl w:val="0"/>
          <w:numId w:val="3"/>
        </w:numPr>
        <w:rPr>
          <w:lang w:val="en-ZA"/>
        </w:rPr>
      </w:pPr>
      <w:r w:rsidRPr="00050CEF">
        <w:rPr>
          <w:lang w:val="en-ZA"/>
        </w:rPr>
        <w:t xml:space="preserve">Gloves should be worn and replaced between contact with different </w:t>
      </w:r>
      <w:r w:rsidR="007E04D7">
        <w:rPr>
          <w:lang w:val="en-ZA"/>
        </w:rPr>
        <w:t>individual</w:t>
      </w:r>
      <w:r w:rsidRPr="00050CEF">
        <w:rPr>
          <w:lang w:val="en-ZA"/>
        </w:rPr>
        <w:t xml:space="preserve">s and between vaginal </w:t>
      </w:r>
      <w:r w:rsidR="00050CEF">
        <w:rPr>
          <w:lang w:val="en-ZA"/>
        </w:rPr>
        <w:t xml:space="preserve">and </w:t>
      </w:r>
      <w:r w:rsidRPr="00050CEF">
        <w:rPr>
          <w:lang w:val="en-ZA"/>
        </w:rPr>
        <w:t xml:space="preserve">rectal examinations of the same </w:t>
      </w:r>
      <w:r w:rsidR="008534DC">
        <w:rPr>
          <w:lang w:val="en-ZA"/>
        </w:rPr>
        <w:t>individual</w:t>
      </w:r>
    </w:p>
    <w:p w14:paraId="21913164" w14:textId="3B44BBFD" w:rsidR="00F33408" w:rsidRPr="00050CEF" w:rsidRDefault="00F33408" w:rsidP="00420B1E">
      <w:pPr>
        <w:pStyle w:val="ListParagraph"/>
        <w:numPr>
          <w:ilvl w:val="0"/>
          <w:numId w:val="3"/>
        </w:numPr>
        <w:rPr>
          <w:lang w:val="en-ZA"/>
        </w:rPr>
      </w:pPr>
      <w:r w:rsidRPr="00050CEF">
        <w:rPr>
          <w:lang w:val="en-ZA"/>
        </w:rPr>
        <w:t xml:space="preserve">After completing care of one </w:t>
      </w:r>
      <w:r w:rsidR="008534DC">
        <w:rPr>
          <w:lang w:val="en-ZA"/>
        </w:rPr>
        <w:t>individual</w:t>
      </w:r>
      <w:r w:rsidRPr="00050CEF">
        <w:rPr>
          <w:lang w:val="en-ZA"/>
        </w:rPr>
        <w:t xml:space="preserve"> and removing gloves, the provider should always wash their hands, as gloves may contain undetected tears</w:t>
      </w:r>
    </w:p>
    <w:p w14:paraId="5A209800" w14:textId="50087324" w:rsidR="00F33408" w:rsidRPr="00050CEF" w:rsidRDefault="00F33408" w:rsidP="00420B1E">
      <w:pPr>
        <w:pStyle w:val="ListParagraph"/>
        <w:numPr>
          <w:ilvl w:val="0"/>
          <w:numId w:val="3"/>
        </w:numPr>
        <w:rPr>
          <w:lang w:val="en-ZA"/>
        </w:rPr>
      </w:pPr>
      <w:r w:rsidRPr="00050CEF">
        <w:rPr>
          <w:lang w:val="en-ZA"/>
        </w:rPr>
        <w:t xml:space="preserve">Aseptic technique: Prior to any surgical TOP procedure, the </w:t>
      </w:r>
      <w:r w:rsidR="008534DC">
        <w:rPr>
          <w:lang w:val="en-ZA"/>
        </w:rPr>
        <w:t>individual</w:t>
      </w:r>
      <w:r w:rsidRPr="00050CEF">
        <w:rPr>
          <w:lang w:val="en-ZA"/>
        </w:rPr>
        <w:t>’s cervix should be cleaned with an antiseptic (e.g. betadine)</w:t>
      </w:r>
    </w:p>
    <w:p w14:paraId="2F742D90" w14:textId="298B8272" w:rsidR="00F33408" w:rsidRPr="00050CEF" w:rsidRDefault="00F33408" w:rsidP="00420B1E">
      <w:pPr>
        <w:pStyle w:val="ListParagraph"/>
        <w:numPr>
          <w:ilvl w:val="0"/>
          <w:numId w:val="3"/>
        </w:numPr>
        <w:rPr>
          <w:lang w:val="en-CA"/>
        </w:rPr>
      </w:pPr>
      <w:r w:rsidRPr="00050CEF">
        <w:rPr>
          <w:lang w:val="en-ZA"/>
        </w:rPr>
        <w:t>Aspirators,</w:t>
      </w:r>
      <w:r w:rsidRPr="00050CEF">
        <w:rPr>
          <w:lang w:val="en-CA"/>
        </w:rPr>
        <w:t xml:space="preserve"> cannulae</w:t>
      </w:r>
      <w:r w:rsidR="00294DC4">
        <w:rPr>
          <w:lang w:val="en-CA"/>
        </w:rPr>
        <w:t>,</w:t>
      </w:r>
      <w:r w:rsidRPr="00050CEF">
        <w:rPr>
          <w:lang w:val="en-CA"/>
        </w:rPr>
        <w:t xml:space="preserve"> and adaptors are not safe to handle with bare hands until cleaned</w:t>
      </w:r>
    </w:p>
    <w:p w14:paraId="7435A952" w14:textId="77777777" w:rsidR="00050CEF" w:rsidRDefault="00050CEF" w:rsidP="00F33408">
      <w:bookmarkStart w:id="78" w:name="_Toc525688602"/>
    </w:p>
    <w:p w14:paraId="1704C6EE" w14:textId="567AE03E" w:rsidR="00F33408" w:rsidRPr="00294DC4" w:rsidRDefault="00947049" w:rsidP="006C1B39">
      <w:pPr>
        <w:pStyle w:val="Heading2"/>
      </w:pPr>
      <w:bookmarkStart w:id="79" w:name="_Toc8387207"/>
      <w:r>
        <w:t>Pain m</w:t>
      </w:r>
      <w:r w:rsidR="00F33408" w:rsidRPr="00294DC4">
        <w:t>anagement</w:t>
      </w:r>
      <w:bookmarkEnd w:id="78"/>
      <w:bookmarkEnd w:id="79"/>
      <w:r w:rsidR="00F33408" w:rsidRPr="00294DC4">
        <w:t xml:space="preserve"> </w:t>
      </w:r>
    </w:p>
    <w:p w14:paraId="0AEFD723" w14:textId="77777777" w:rsidR="006C1B39" w:rsidRDefault="006C1B39" w:rsidP="00F33408">
      <w:pPr>
        <w:rPr>
          <w:b/>
          <w:lang w:val="en-CA"/>
        </w:rPr>
      </w:pPr>
    </w:p>
    <w:p w14:paraId="146673C1" w14:textId="1B645E55" w:rsidR="00447006" w:rsidRDefault="00447006" w:rsidP="00F33408">
      <w:pPr>
        <w:rPr>
          <w:lang w:val="en-CA"/>
        </w:rPr>
      </w:pPr>
      <w:r>
        <w:rPr>
          <w:noProof/>
          <w:lang w:val="en-ZA" w:eastAsia="en-ZA"/>
        </w:rPr>
        <mc:AlternateContent>
          <mc:Choice Requires="wps">
            <w:drawing>
              <wp:inline distT="0" distB="0" distL="0" distR="0" wp14:anchorId="74839C92" wp14:editId="114B8D90">
                <wp:extent cx="5943600" cy="381000"/>
                <wp:effectExtent l="0" t="0" r="0" b="0"/>
                <wp:docPr id="46" name="Text Box 46"/>
                <wp:cNvGraphicFramePr/>
                <a:graphic xmlns:a="http://schemas.openxmlformats.org/drawingml/2006/main">
                  <a:graphicData uri="http://schemas.microsoft.com/office/word/2010/wordprocessingShape">
                    <wps:wsp>
                      <wps:cNvSpPr txBox="1"/>
                      <wps:spPr>
                        <a:xfrm>
                          <a:off x="0" y="0"/>
                          <a:ext cx="5943600" cy="381000"/>
                        </a:xfrm>
                        <a:prstGeom prst="rect">
                          <a:avLst/>
                        </a:prstGeom>
                        <a:solidFill>
                          <a:schemeClr val="accent6">
                            <a:lumMod val="20000"/>
                            <a:lumOff val="80000"/>
                          </a:schemeClr>
                        </a:solidFill>
                        <a:ln w="6350">
                          <a:noFill/>
                        </a:ln>
                      </wps:spPr>
                      <wps:txbx>
                        <w:txbxContent>
                          <w:p w14:paraId="397367DD" w14:textId="73FCA1AC" w:rsidR="003351E3" w:rsidRPr="00881488" w:rsidRDefault="003351E3" w:rsidP="00881488">
                            <w:pPr>
                              <w:rPr>
                                <w:b/>
                                <w:szCs w:val="20"/>
                                <w:lang w:val="en-CA"/>
                              </w:rPr>
                            </w:pPr>
                            <w:r>
                              <w:rPr>
                                <w:b/>
                                <w:szCs w:val="20"/>
                                <w:lang w:val="en-CA"/>
                              </w:rPr>
                              <w:t xml:space="preserve">All individuals must be offered pain medication before a medical or surgical TOP procedure.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839C92" id="Text Box 46" o:spid="_x0000_s1037" type="#_x0000_t202" style="width:468pt;height:30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" fillcolor="#e2efd9 [665]" stroked="f" strokeweight=".5pt">
                <v:textbox>
                  <w:txbxContent>
                    <w:p w14:paraId="397367DD" w14:textId="73FCA1AC" w:rsidR="003351E3" w:rsidRPr="00881488" w:rsidRDefault="003351E3" w:rsidP="00881488">
                      <w:pPr>
                        <w:rPr>
                          <w:b/>
                          <w:szCs w:val="20"/>
                          <w:lang w:val="en-CA"/>
                        </w:rPr>
                      </w:pPr>
                      <w:r>
                        <w:rPr>
                          <w:b/>
                          <w:szCs w:val="20"/>
                          <w:lang w:val="en-CA"/>
                        </w:rPr>
                        <w:t xml:space="preserve">All individuals must be offered pain medication before a medical or surgical TOP procedure. </w:t>
                      </w:r>
                    </w:p>
                  </w:txbxContent>
                </v:textbox>
                <w10:anchorlock/>
              </v:shape>
            </w:pict>
          </mc:Fallback>
        </mc:AlternateContent>
      </w:r>
    </w:p>
    <w:p w14:paraId="6DC43E14" w14:textId="77777777" w:rsidR="00881488" w:rsidRDefault="00881488" w:rsidP="00F33408">
      <w:pPr>
        <w:rPr>
          <w:lang w:val="en-CA"/>
        </w:rPr>
      </w:pPr>
    </w:p>
    <w:p w14:paraId="5C3F45CB" w14:textId="3DD349D5" w:rsidR="005E6DDF" w:rsidRDefault="00F33408" w:rsidP="00F33408">
      <w:pPr>
        <w:rPr>
          <w:lang w:val="en-CA"/>
        </w:rPr>
      </w:pPr>
      <w:r>
        <w:rPr>
          <w:lang w:val="en-CA"/>
        </w:rPr>
        <w:t>Neglecting th</w:t>
      </w:r>
      <w:r w:rsidR="005E6DDF">
        <w:rPr>
          <w:lang w:val="en-CA"/>
        </w:rPr>
        <w:t>is important element increases an individual</w:t>
      </w:r>
      <w:r>
        <w:rPr>
          <w:lang w:val="en-CA"/>
        </w:rPr>
        <w:t xml:space="preserve">’s anxiety and discomfort, potentially lengthening the procedure and compromising care. The amount of pain </w:t>
      </w:r>
      <w:r w:rsidR="005E6DDF">
        <w:rPr>
          <w:lang w:val="en-CA"/>
        </w:rPr>
        <w:t>an individual will</w:t>
      </w:r>
      <w:r>
        <w:rPr>
          <w:lang w:val="en-CA"/>
        </w:rPr>
        <w:t xml:space="preserve"> experience with uterine evacuation or pregnancy expulsion and their response to that pain vari</w:t>
      </w:r>
      <w:r w:rsidR="005E6DDF">
        <w:rPr>
          <w:lang w:val="en-CA"/>
        </w:rPr>
        <w:t>es greatly. It is necessary to</w:t>
      </w:r>
      <w:r>
        <w:rPr>
          <w:lang w:val="en-CA"/>
        </w:rPr>
        <w:t xml:space="preserve"> assess each </w:t>
      </w:r>
      <w:r w:rsidR="005E6DDF">
        <w:rPr>
          <w:lang w:val="en-CA"/>
        </w:rPr>
        <w:t>individual</w:t>
      </w:r>
      <w:r>
        <w:rPr>
          <w:lang w:val="en-CA"/>
        </w:rPr>
        <w:t xml:space="preserve">’s pain-management needs. </w:t>
      </w:r>
    </w:p>
    <w:p w14:paraId="04362FFD" w14:textId="77777777" w:rsidR="005E6DDF" w:rsidRDefault="005E6DDF" w:rsidP="00F33408">
      <w:pPr>
        <w:rPr>
          <w:lang w:val="en-CA"/>
        </w:rPr>
      </w:pPr>
    </w:p>
    <w:p w14:paraId="741BA6C0" w14:textId="02655338" w:rsidR="00F33408" w:rsidRDefault="00F33408" w:rsidP="00F33408">
      <w:pPr>
        <w:rPr>
          <w:lang w:val="en-CA"/>
        </w:rPr>
      </w:pPr>
      <w:r>
        <w:rPr>
          <w:lang w:val="en-CA"/>
        </w:rPr>
        <w:t xml:space="preserve">Pain related to both physiological and mechanical cervical dilatation and uterine contractions is common among </w:t>
      </w:r>
      <w:r w:rsidR="005E6DDF">
        <w:rPr>
          <w:lang w:val="en-CA"/>
        </w:rPr>
        <w:t xml:space="preserve">individuals </w:t>
      </w:r>
      <w:r>
        <w:rPr>
          <w:lang w:val="en-CA"/>
        </w:rPr>
        <w:t>undergoing a TOP procedure.</w:t>
      </w:r>
      <w:r w:rsidR="00D672FC">
        <w:rPr>
          <w:lang w:val="en-CA"/>
        </w:rPr>
        <w:t xml:space="preserve"> </w:t>
      </w:r>
      <w:r>
        <w:rPr>
          <w:lang w:val="en-CA"/>
        </w:rPr>
        <w:t xml:space="preserve">Both pharmacological and non-pharmacological methods may be helpful to reduce pain associated with TOP. </w:t>
      </w:r>
    </w:p>
    <w:p w14:paraId="25B31760" w14:textId="62948A3A" w:rsidR="00D672FC" w:rsidRPr="005E6DDF" w:rsidRDefault="00D672FC" w:rsidP="00F33408">
      <w:pPr>
        <w:rPr>
          <w:sz w:val="24"/>
          <w:lang w:val="en-CA"/>
        </w:rPr>
      </w:pPr>
    </w:p>
    <w:p w14:paraId="4FE5B4BB" w14:textId="1FC2E045" w:rsidR="00163D27" w:rsidRPr="005E6DDF" w:rsidRDefault="00163D27" w:rsidP="00163D27">
      <w:pPr>
        <w:pStyle w:val="Caption"/>
        <w:keepNext/>
        <w:rPr>
          <w:sz w:val="20"/>
        </w:rPr>
      </w:pPr>
      <w:bookmarkStart w:id="80" w:name="_Toc8387222"/>
      <w:r w:rsidRPr="005E6DDF">
        <w:rPr>
          <w:sz w:val="20"/>
        </w:rPr>
        <w:t xml:space="preserve">Table </w:t>
      </w:r>
      <w:r w:rsidRPr="005E6DDF">
        <w:rPr>
          <w:sz w:val="20"/>
        </w:rPr>
        <w:fldChar w:fldCharType="begin"/>
      </w:r>
      <w:r w:rsidRPr="005E6DDF">
        <w:rPr>
          <w:sz w:val="20"/>
        </w:rPr>
        <w:instrText xml:space="preserve"> SEQ Table \* ARABIC </w:instrText>
      </w:r>
      <w:r w:rsidRPr="005E6DDF">
        <w:rPr>
          <w:sz w:val="20"/>
        </w:rPr>
        <w:fldChar w:fldCharType="separate"/>
      </w:r>
      <w:r w:rsidR="00183285" w:rsidRPr="005E6DDF">
        <w:rPr>
          <w:noProof/>
          <w:sz w:val="20"/>
        </w:rPr>
        <w:t>4</w:t>
      </w:r>
      <w:r w:rsidRPr="005E6DDF">
        <w:rPr>
          <w:sz w:val="20"/>
        </w:rPr>
        <w:fldChar w:fldCharType="end"/>
      </w:r>
      <w:r w:rsidRPr="005E6DDF">
        <w:rPr>
          <w:sz w:val="20"/>
        </w:rPr>
        <w:t>. Pharmacological methods for pain management</w:t>
      </w:r>
      <w:bookmarkEnd w:id="80"/>
    </w:p>
    <w:tbl>
      <w:tblPr>
        <w:tblStyle w:val="GridTable4-Accent3"/>
        <w:tblW w:w="0" w:type="auto"/>
        <w:tblLook w:val="04A0" w:firstRow="1" w:lastRow="0" w:firstColumn="1" w:lastColumn="0" w:noHBand="0" w:noVBand="1"/>
      </w:tblPr>
      <w:tblGrid>
        <w:gridCol w:w="2122"/>
        <w:gridCol w:w="3614"/>
        <w:gridCol w:w="3614"/>
      </w:tblGrid>
      <w:tr w:rsidR="00D672FC" w:rsidRPr="00D672FC" w14:paraId="5C3445CF" w14:textId="77777777" w:rsidTr="00B75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C182C27" w14:textId="1111ADBB" w:rsidR="00D672FC" w:rsidRPr="00D672FC" w:rsidRDefault="00D672FC" w:rsidP="00D672FC">
            <w:pPr>
              <w:jc w:val="center"/>
              <w:rPr>
                <w:sz w:val="20"/>
                <w:szCs w:val="20"/>
                <w:lang w:val="en-CA"/>
              </w:rPr>
            </w:pPr>
            <w:r w:rsidRPr="00D672FC">
              <w:rPr>
                <w:sz w:val="20"/>
                <w:szCs w:val="20"/>
              </w:rPr>
              <w:t>Pain Medication</w:t>
            </w:r>
          </w:p>
        </w:tc>
        <w:tc>
          <w:tcPr>
            <w:tcW w:w="3614" w:type="dxa"/>
          </w:tcPr>
          <w:p w14:paraId="2662BD85" w14:textId="313264F5" w:rsidR="00D672FC" w:rsidRPr="00D672FC" w:rsidRDefault="00D672FC" w:rsidP="00D672FC">
            <w:pPr>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sidRPr="00D672FC">
              <w:rPr>
                <w:sz w:val="20"/>
                <w:szCs w:val="20"/>
              </w:rPr>
              <w:t xml:space="preserve">Medical </w:t>
            </w:r>
            <w:r w:rsidR="00A47E94">
              <w:rPr>
                <w:sz w:val="20"/>
                <w:szCs w:val="20"/>
              </w:rPr>
              <w:t>TOP</w:t>
            </w:r>
          </w:p>
        </w:tc>
        <w:tc>
          <w:tcPr>
            <w:tcW w:w="3614" w:type="dxa"/>
          </w:tcPr>
          <w:p w14:paraId="350D59A1" w14:textId="1E90AE35" w:rsidR="00D672FC" w:rsidRPr="00D672FC" w:rsidRDefault="00D672FC" w:rsidP="00D672FC">
            <w:pPr>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sidRPr="00D672FC">
              <w:rPr>
                <w:sz w:val="20"/>
                <w:szCs w:val="20"/>
              </w:rPr>
              <w:t xml:space="preserve">Surgical </w:t>
            </w:r>
            <w:r w:rsidR="00A47E94">
              <w:rPr>
                <w:sz w:val="20"/>
                <w:szCs w:val="20"/>
              </w:rPr>
              <w:t>TOP</w:t>
            </w:r>
          </w:p>
        </w:tc>
      </w:tr>
      <w:tr w:rsidR="00D672FC" w:rsidRPr="00D672FC" w14:paraId="1DA9067E" w14:textId="77777777" w:rsidTr="00B75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C670B9C" w14:textId="0800AD4E" w:rsidR="00D672FC" w:rsidRPr="00D672FC" w:rsidRDefault="00D672FC" w:rsidP="00D672FC">
            <w:pPr>
              <w:rPr>
                <w:sz w:val="20"/>
                <w:szCs w:val="20"/>
                <w:lang w:val="en-CA"/>
              </w:rPr>
            </w:pPr>
            <w:r w:rsidRPr="00D672FC">
              <w:rPr>
                <w:color w:val="000000" w:themeColor="text1"/>
                <w:sz w:val="20"/>
                <w:szCs w:val="20"/>
              </w:rPr>
              <w:t>Analgesia</w:t>
            </w:r>
          </w:p>
        </w:tc>
        <w:tc>
          <w:tcPr>
            <w:tcW w:w="3614" w:type="dxa"/>
          </w:tcPr>
          <w:p w14:paraId="783551B6" w14:textId="3F645E42" w:rsidR="00D672FC" w:rsidRPr="00D672FC" w:rsidRDefault="00D672FC" w:rsidP="00D672FC">
            <w:pPr>
              <w:cnfStyle w:val="000000100000" w:firstRow="0" w:lastRow="0" w:firstColumn="0" w:lastColumn="0" w:oddVBand="0" w:evenVBand="0" w:oddHBand="1" w:evenHBand="0" w:firstRowFirstColumn="0" w:firstRowLastColumn="0" w:lastRowFirstColumn="0" w:lastRowLastColumn="0"/>
              <w:rPr>
                <w:sz w:val="20"/>
                <w:szCs w:val="20"/>
                <w:lang w:val="en-CA"/>
              </w:rPr>
            </w:pPr>
            <w:r w:rsidRPr="00D672FC">
              <w:rPr>
                <w:color w:val="000000" w:themeColor="text1"/>
                <w:sz w:val="20"/>
                <w:szCs w:val="20"/>
              </w:rPr>
              <w:t>NSAIDs - e.g. Ibuprofen (400-800mg)</w:t>
            </w:r>
            <w:r w:rsidR="00B75C7C">
              <w:rPr>
                <w:color w:val="000000" w:themeColor="text1"/>
                <w:sz w:val="20"/>
                <w:szCs w:val="20"/>
              </w:rPr>
              <w:t xml:space="preserve">   </w:t>
            </w:r>
          </w:p>
        </w:tc>
        <w:tc>
          <w:tcPr>
            <w:tcW w:w="3614" w:type="dxa"/>
          </w:tcPr>
          <w:p w14:paraId="308C9E7E" w14:textId="57F4E32F" w:rsidR="00D672FC" w:rsidRPr="00D672FC" w:rsidRDefault="00D672FC" w:rsidP="00D672FC">
            <w:pPr>
              <w:cnfStyle w:val="000000100000" w:firstRow="0" w:lastRow="0" w:firstColumn="0" w:lastColumn="0" w:oddVBand="0" w:evenVBand="0" w:oddHBand="1" w:evenHBand="0" w:firstRowFirstColumn="0" w:firstRowLastColumn="0" w:lastRowFirstColumn="0" w:lastRowLastColumn="0"/>
              <w:rPr>
                <w:sz w:val="20"/>
                <w:szCs w:val="20"/>
                <w:lang w:val="en-CA"/>
              </w:rPr>
            </w:pPr>
            <w:r w:rsidRPr="00D672FC">
              <w:rPr>
                <w:color w:val="000000" w:themeColor="text1"/>
                <w:sz w:val="20"/>
                <w:szCs w:val="20"/>
              </w:rPr>
              <w:t>NSAIDs - e.g. Ibuprofen (400-800mg)</w:t>
            </w:r>
          </w:p>
        </w:tc>
      </w:tr>
      <w:tr w:rsidR="00D672FC" w:rsidRPr="00D672FC" w14:paraId="3EA13F2B" w14:textId="77777777" w:rsidTr="00B75C7C">
        <w:tc>
          <w:tcPr>
            <w:cnfStyle w:val="001000000000" w:firstRow="0" w:lastRow="0" w:firstColumn="1" w:lastColumn="0" w:oddVBand="0" w:evenVBand="0" w:oddHBand="0" w:evenHBand="0" w:firstRowFirstColumn="0" w:firstRowLastColumn="0" w:lastRowFirstColumn="0" w:lastRowLastColumn="0"/>
            <w:tcW w:w="2122" w:type="dxa"/>
          </w:tcPr>
          <w:p w14:paraId="786AC485" w14:textId="31065090" w:rsidR="00D672FC" w:rsidRPr="00D672FC" w:rsidRDefault="00D672FC" w:rsidP="00D672FC">
            <w:pPr>
              <w:rPr>
                <w:sz w:val="20"/>
                <w:szCs w:val="20"/>
                <w:lang w:val="en-CA"/>
              </w:rPr>
            </w:pPr>
            <w:r w:rsidRPr="00D672FC">
              <w:rPr>
                <w:color w:val="000000" w:themeColor="text1"/>
                <w:sz w:val="20"/>
                <w:szCs w:val="20"/>
              </w:rPr>
              <w:t>Local Anaesthetic</w:t>
            </w:r>
          </w:p>
        </w:tc>
        <w:tc>
          <w:tcPr>
            <w:tcW w:w="3614" w:type="dxa"/>
          </w:tcPr>
          <w:p w14:paraId="33021DB9" w14:textId="5A4D63A0"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sz w:val="20"/>
                <w:szCs w:val="20"/>
                <w:lang w:val="en-CA"/>
              </w:rPr>
            </w:pPr>
            <w:r w:rsidRPr="00D672FC">
              <w:rPr>
                <w:color w:val="000000" w:themeColor="text1"/>
                <w:sz w:val="20"/>
                <w:szCs w:val="20"/>
              </w:rPr>
              <w:t>N/A</w:t>
            </w:r>
          </w:p>
        </w:tc>
        <w:tc>
          <w:tcPr>
            <w:tcW w:w="3614" w:type="dxa"/>
          </w:tcPr>
          <w:p w14:paraId="733B2256" w14:textId="65F3DD9F"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sz w:val="20"/>
                <w:szCs w:val="20"/>
                <w:lang w:val="en-CA"/>
              </w:rPr>
            </w:pPr>
            <w:r w:rsidRPr="00D672FC">
              <w:rPr>
                <w:color w:val="000000" w:themeColor="text1"/>
                <w:sz w:val="20"/>
                <w:szCs w:val="20"/>
              </w:rPr>
              <w:t>Lidocaine (20 mL of 1%) for para-cervical or intra-cervical block</w:t>
            </w:r>
          </w:p>
        </w:tc>
      </w:tr>
      <w:tr w:rsidR="00D672FC" w:rsidRPr="00D672FC" w14:paraId="57FC50A9" w14:textId="77777777" w:rsidTr="00B75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012D43" w14:textId="5789F733" w:rsidR="00D672FC" w:rsidRPr="00D672FC" w:rsidRDefault="00D672FC" w:rsidP="00D672FC">
            <w:pPr>
              <w:rPr>
                <w:sz w:val="20"/>
                <w:szCs w:val="20"/>
                <w:lang w:val="en-CA"/>
              </w:rPr>
            </w:pPr>
            <w:r w:rsidRPr="00D672FC">
              <w:rPr>
                <w:color w:val="000000" w:themeColor="text1"/>
                <w:sz w:val="20"/>
                <w:szCs w:val="20"/>
              </w:rPr>
              <w:t>Anxiolytics / Sedatives</w:t>
            </w:r>
          </w:p>
        </w:tc>
        <w:tc>
          <w:tcPr>
            <w:tcW w:w="3614" w:type="dxa"/>
          </w:tcPr>
          <w:p w14:paraId="0732389D" w14:textId="62DD4295" w:rsidR="00D672FC" w:rsidRPr="00D672FC" w:rsidRDefault="00D672FC" w:rsidP="00D672FC">
            <w:pPr>
              <w:cnfStyle w:val="000000100000" w:firstRow="0" w:lastRow="0" w:firstColumn="0" w:lastColumn="0" w:oddVBand="0" w:evenVBand="0" w:oddHBand="1" w:evenHBand="0" w:firstRowFirstColumn="0" w:firstRowLastColumn="0" w:lastRowFirstColumn="0" w:lastRowLastColumn="0"/>
              <w:rPr>
                <w:sz w:val="20"/>
                <w:szCs w:val="20"/>
                <w:lang w:val="en-CA"/>
              </w:rPr>
            </w:pPr>
            <w:r w:rsidRPr="00D672FC">
              <w:rPr>
                <w:color w:val="000000" w:themeColor="text1"/>
                <w:sz w:val="20"/>
                <w:szCs w:val="20"/>
              </w:rPr>
              <w:t>Diazepam (5-10 mg)</w:t>
            </w:r>
          </w:p>
        </w:tc>
        <w:tc>
          <w:tcPr>
            <w:tcW w:w="3614" w:type="dxa"/>
          </w:tcPr>
          <w:p w14:paraId="5D502CE9" w14:textId="77777777" w:rsidR="00D672FC" w:rsidRPr="00D672FC" w:rsidRDefault="00D672FC" w:rsidP="00D672F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672FC">
              <w:rPr>
                <w:color w:val="000000" w:themeColor="text1"/>
                <w:sz w:val="20"/>
                <w:szCs w:val="20"/>
              </w:rPr>
              <w:t>Fentanyl; midazolam; propofol</w:t>
            </w:r>
          </w:p>
          <w:p w14:paraId="2CB28746" w14:textId="67D7DE3A" w:rsidR="00D672FC" w:rsidRPr="00D672FC" w:rsidRDefault="00D672FC" w:rsidP="00D672FC">
            <w:pPr>
              <w:cnfStyle w:val="000000100000" w:firstRow="0" w:lastRow="0" w:firstColumn="0" w:lastColumn="0" w:oddVBand="0" w:evenVBand="0" w:oddHBand="1" w:evenHBand="0" w:firstRowFirstColumn="0" w:firstRowLastColumn="0" w:lastRowFirstColumn="0" w:lastRowLastColumn="0"/>
              <w:rPr>
                <w:sz w:val="20"/>
                <w:szCs w:val="20"/>
                <w:lang w:val="en-CA"/>
              </w:rPr>
            </w:pPr>
            <w:r w:rsidRPr="00D672FC">
              <w:rPr>
                <w:color w:val="000000" w:themeColor="text1"/>
                <w:sz w:val="20"/>
                <w:szCs w:val="20"/>
              </w:rPr>
              <w:t>Diazepam (5-10 mg)</w:t>
            </w:r>
          </w:p>
        </w:tc>
      </w:tr>
      <w:tr w:rsidR="00D672FC" w:rsidRPr="00D672FC" w14:paraId="4E649851" w14:textId="77777777" w:rsidTr="00B75C7C">
        <w:tc>
          <w:tcPr>
            <w:cnfStyle w:val="001000000000" w:firstRow="0" w:lastRow="0" w:firstColumn="1" w:lastColumn="0" w:oddVBand="0" w:evenVBand="0" w:oddHBand="0" w:evenHBand="0" w:firstRowFirstColumn="0" w:firstRowLastColumn="0" w:lastRowFirstColumn="0" w:lastRowLastColumn="0"/>
            <w:tcW w:w="2122" w:type="dxa"/>
          </w:tcPr>
          <w:p w14:paraId="05AF4122" w14:textId="5F755360" w:rsidR="00D672FC" w:rsidRPr="00D672FC" w:rsidRDefault="00D672FC" w:rsidP="00D672FC">
            <w:pPr>
              <w:rPr>
                <w:sz w:val="20"/>
                <w:szCs w:val="20"/>
                <w:lang w:val="en-CA"/>
              </w:rPr>
            </w:pPr>
            <w:r w:rsidRPr="00D672FC">
              <w:rPr>
                <w:color w:val="000000" w:themeColor="text1"/>
                <w:sz w:val="20"/>
                <w:szCs w:val="20"/>
              </w:rPr>
              <w:t>Note:</w:t>
            </w:r>
          </w:p>
        </w:tc>
        <w:tc>
          <w:tcPr>
            <w:tcW w:w="3614" w:type="dxa"/>
          </w:tcPr>
          <w:p w14:paraId="330C70D4" w14:textId="77777777"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672FC">
              <w:rPr>
                <w:color w:val="000000" w:themeColor="text1"/>
                <w:sz w:val="20"/>
                <w:szCs w:val="20"/>
              </w:rPr>
              <w:t>Adjuvant medications may also be provided, if indicated, for side-effects of misoprostol (e.g. loperamide for diarrhoea, anti-emetic for nausea).</w:t>
            </w:r>
          </w:p>
          <w:p w14:paraId="7F513E84" w14:textId="77777777"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AD8556C" w14:textId="76B2158E"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B75C7C">
              <w:rPr>
                <w:b/>
                <w:color w:val="000000" w:themeColor="text1"/>
                <w:sz w:val="20"/>
                <w:szCs w:val="20"/>
                <w:u w:val="single"/>
              </w:rPr>
              <w:t>&gt;</w:t>
            </w:r>
            <w:r w:rsidRPr="00D672FC">
              <w:rPr>
                <w:b/>
                <w:color w:val="000000" w:themeColor="text1"/>
                <w:sz w:val="20"/>
                <w:szCs w:val="20"/>
              </w:rPr>
              <w:t>12 weeks</w:t>
            </w:r>
            <w:r w:rsidR="00B75C7C">
              <w:rPr>
                <w:b/>
                <w:color w:val="000000" w:themeColor="text1"/>
                <w:sz w:val="20"/>
                <w:szCs w:val="20"/>
              </w:rPr>
              <w:t xml:space="preserve"> + </w:t>
            </w:r>
            <w:r w:rsidR="00FF778E">
              <w:rPr>
                <w:b/>
                <w:color w:val="000000" w:themeColor="text1"/>
                <w:sz w:val="20"/>
                <w:szCs w:val="20"/>
              </w:rPr>
              <w:t>1-day</w:t>
            </w:r>
            <w:r w:rsidRPr="00D672FC">
              <w:rPr>
                <w:b/>
                <w:color w:val="000000" w:themeColor="text1"/>
                <w:sz w:val="20"/>
                <w:szCs w:val="20"/>
              </w:rPr>
              <w:t xml:space="preserve"> gestation: </w:t>
            </w:r>
          </w:p>
          <w:p w14:paraId="2F6271BF" w14:textId="0851F9AA"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sz w:val="20"/>
                <w:szCs w:val="20"/>
                <w:lang w:val="en-CA"/>
              </w:rPr>
            </w:pPr>
            <w:r w:rsidRPr="00D672FC">
              <w:rPr>
                <w:color w:val="000000" w:themeColor="text1"/>
                <w:sz w:val="20"/>
                <w:szCs w:val="20"/>
              </w:rPr>
              <w:t>In addition to NSAIDs, offer at least one or more of the following: oral opioids; intramuscular (IM) or intravenous (IV) opioids; epidural anaesthesia.</w:t>
            </w:r>
          </w:p>
        </w:tc>
        <w:tc>
          <w:tcPr>
            <w:tcW w:w="3614" w:type="dxa"/>
          </w:tcPr>
          <w:p w14:paraId="4BE391C0" w14:textId="77777777"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672FC">
              <w:rPr>
                <w:color w:val="000000" w:themeColor="text1"/>
                <w:sz w:val="20"/>
                <w:szCs w:val="20"/>
              </w:rPr>
              <w:t xml:space="preserve">General anaesthesia is not routinely recommended for vacuum aspiration or D&amp;E.  </w:t>
            </w:r>
          </w:p>
          <w:p w14:paraId="745B45EB" w14:textId="24915325"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r w:rsidRPr="00D672FC">
              <w:rPr>
                <w:color w:val="000000" w:themeColor="text1"/>
                <w:sz w:val="20"/>
                <w:szCs w:val="20"/>
                <w:lang w:val="en-CA"/>
              </w:rPr>
              <w:t xml:space="preserve">Medications used for general anaesthesia are one of the few potentially life-threatening aspects of </w:t>
            </w:r>
            <w:r w:rsidR="00A47E94">
              <w:rPr>
                <w:color w:val="000000" w:themeColor="text1"/>
                <w:sz w:val="20"/>
                <w:szCs w:val="20"/>
                <w:lang w:val="en-CA"/>
              </w:rPr>
              <w:t>TOP</w:t>
            </w:r>
            <w:r w:rsidRPr="00D672FC">
              <w:rPr>
                <w:color w:val="000000" w:themeColor="text1"/>
                <w:sz w:val="20"/>
                <w:szCs w:val="20"/>
                <w:lang w:val="en-CA"/>
              </w:rPr>
              <w:t xml:space="preserve"> care. Any facility that offers general anaesthesia must have the specialized equipment and staff to administer such and handle associated complications. </w:t>
            </w:r>
          </w:p>
          <w:p w14:paraId="6EB26F4C" w14:textId="77777777" w:rsidR="00D672FC" w:rsidRPr="00D672FC" w:rsidRDefault="00D672FC" w:rsidP="00D672FC">
            <w:pPr>
              <w:cnfStyle w:val="000000000000" w:firstRow="0" w:lastRow="0" w:firstColumn="0" w:lastColumn="0" w:oddVBand="0" w:evenVBand="0" w:oddHBand="0" w:evenHBand="0" w:firstRowFirstColumn="0" w:firstRowLastColumn="0" w:lastRowFirstColumn="0" w:lastRowLastColumn="0"/>
              <w:rPr>
                <w:sz w:val="20"/>
                <w:szCs w:val="20"/>
                <w:lang w:val="en-CA"/>
              </w:rPr>
            </w:pPr>
          </w:p>
        </w:tc>
      </w:tr>
    </w:tbl>
    <w:p w14:paraId="7787B06E" w14:textId="2794F497" w:rsidR="00D672FC" w:rsidRDefault="00D672FC" w:rsidP="00F33408">
      <w:pPr>
        <w:rPr>
          <w:lang w:val="en-CA"/>
        </w:rPr>
      </w:pPr>
    </w:p>
    <w:p w14:paraId="51F6B314" w14:textId="77777777" w:rsidR="007D5ABD" w:rsidRPr="00761D01" w:rsidRDefault="007D5ABD" w:rsidP="007D5ABD">
      <w:r w:rsidRPr="00761D01">
        <w:lastRenderedPageBreak/>
        <w:t xml:space="preserve">Note: </w:t>
      </w:r>
    </w:p>
    <w:p w14:paraId="0040E91A" w14:textId="25E2FD31" w:rsidR="007D5ABD" w:rsidRPr="007D5ABD" w:rsidRDefault="007D5ABD" w:rsidP="00420B1E">
      <w:pPr>
        <w:pStyle w:val="ListParagraph"/>
        <w:numPr>
          <w:ilvl w:val="0"/>
          <w:numId w:val="3"/>
        </w:numPr>
        <w:rPr>
          <w:lang w:val="en-ZA"/>
        </w:rPr>
      </w:pPr>
      <w:r w:rsidRPr="007D5ABD">
        <w:rPr>
          <w:lang w:val="en-ZA"/>
        </w:rPr>
        <w:t xml:space="preserve">Paracetamol is </w:t>
      </w:r>
      <w:r w:rsidRPr="00B75C7C">
        <w:rPr>
          <w:u w:val="single"/>
          <w:lang w:val="en-ZA"/>
        </w:rPr>
        <w:t>not</w:t>
      </w:r>
      <w:r w:rsidRPr="007D5ABD">
        <w:rPr>
          <w:lang w:val="en-ZA"/>
        </w:rPr>
        <w:t xml:space="preserve"> recommended to decrease pain during a TOP</w:t>
      </w:r>
    </w:p>
    <w:p w14:paraId="553B2DF6" w14:textId="440EF99B" w:rsidR="007D5ABD" w:rsidRPr="007D5ABD" w:rsidRDefault="007D5ABD" w:rsidP="00420B1E">
      <w:pPr>
        <w:pStyle w:val="ListParagraph"/>
        <w:numPr>
          <w:ilvl w:val="0"/>
          <w:numId w:val="3"/>
        </w:numPr>
        <w:rPr>
          <w:lang w:val="en-ZA"/>
        </w:rPr>
      </w:pPr>
      <w:r w:rsidRPr="007D5ABD">
        <w:rPr>
          <w:lang w:val="en-ZA"/>
        </w:rPr>
        <w:t>Oral medication should be administered 30-45</w:t>
      </w:r>
      <w:r w:rsidR="00B75C7C">
        <w:rPr>
          <w:lang w:val="en-ZA"/>
        </w:rPr>
        <w:t xml:space="preserve"> </w:t>
      </w:r>
      <w:r w:rsidRPr="007D5ABD">
        <w:rPr>
          <w:lang w:val="en-ZA"/>
        </w:rPr>
        <w:t>min before a TOP procedure to ensure optimal effectiveness during the procedure</w:t>
      </w:r>
    </w:p>
    <w:p w14:paraId="3A8F632E" w14:textId="25A18D98" w:rsidR="007D5ABD" w:rsidRDefault="007D5ABD" w:rsidP="007D5ABD">
      <w:pPr>
        <w:rPr>
          <w:szCs w:val="22"/>
        </w:rPr>
      </w:pPr>
    </w:p>
    <w:p w14:paraId="2D0A92A9" w14:textId="13FBFA33" w:rsidR="000310FE" w:rsidRPr="00B75C7C" w:rsidRDefault="000310FE" w:rsidP="000310FE">
      <w:pPr>
        <w:pStyle w:val="Caption"/>
        <w:keepNext/>
        <w:rPr>
          <w:sz w:val="20"/>
        </w:rPr>
      </w:pPr>
      <w:bookmarkStart w:id="81" w:name="_Toc8387223"/>
      <w:r w:rsidRPr="00B75C7C">
        <w:rPr>
          <w:sz w:val="20"/>
        </w:rPr>
        <w:t xml:space="preserve">Table </w:t>
      </w:r>
      <w:r w:rsidRPr="00B75C7C">
        <w:rPr>
          <w:sz w:val="20"/>
        </w:rPr>
        <w:fldChar w:fldCharType="begin"/>
      </w:r>
      <w:r w:rsidRPr="00B75C7C">
        <w:rPr>
          <w:sz w:val="20"/>
        </w:rPr>
        <w:instrText xml:space="preserve"> SEQ Table \* ARABIC </w:instrText>
      </w:r>
      <w:r w:rsidRPr="00B75C7C">
        <w:rPr>
          <w:sz w:val="20"/>
        </w:rPr>
        <w:fldChar w:fldCharType="separate"/>
      </w:r>
      <w:r w:rsidR="00183285" w:rsidRPr="00B75C7C">
        <w:rPr>
          <w:noProof/>
          <w:sz w:val="20"/>
        </w:rPr>
        <w:t>5</w:t>
      </w:r>
      <w:r w:rsidRPr="00B75C7C">
        <w:rPr>
          <w:sz w:val="20"/>
        </w:rPr>
        <w:fldChar w:fldCharType="end"/>
      </w:r>
      <w:r w:rsidRPr="00B75C7C">
        <w:rPr>
          <w:sz w:val="20"/>
        </w:rPr>
        <w:t>. Non-pharmacological methods for pain management</w:t>
      </w:r>
      <w:bookmarkEnd w:id="81"/>
    </w:p>
    <w:tbl>
      <w:tblPr>
        <w:tblStyle w:val="TableGrid"/>
        <w:tblW w:w="0" w:type="auto"/>
        <w:tblLook w:val="04A0" w:firstRow="1" w:lastRow="0" w:firstColumn="1" w:lastColumn="0" w:noHBand="0" w:noVBand="1"/>
      </w:tblPr>
      <w:tblGrid>
        <w:gridCol w:w="4675"/>
        <w:gridCol w:w="4675"/>
      </w:tblGrid>
      <w:tr w:rsidR="00447533" w14:paraId="3280F477" w14:textId="77777777" w:rsidTr="00447533">
        <w:tc>
          <w:tcPr>
            <w:tcW w:w="4675" w:type="dxa"/>
          </w:tcPr>
          <w:p w14:paraId="5AFC877B" w14:textId="232E4518" w:rsidR="00447533" w:rsidRPr="00447533" w:rsidRDefault="00447533" w:rsidP="00447533">
            <w:pPr>
              <w:rPr>
                <w:sz w:val="20"/>
                <w:szCs w:val="20"/>
              </w:rPr>
            </w:pPr>
            <w:r w:rsidRPr="00447533">
              <w:rPr>
                <w:b/>
                <w:sz w:val="20"/>
                <w:szCs w:val="20"/>
              </w:rPr>
              <w:t xml:space="preserve">Medical </w:t>
            </w:r>
            <w:r w:rsidR="00A47E94">
              <w:rPr>
                <w:b/>
                <w:sz w:val="20"/>
                <w:szCs w:val="20"/>
              </w:rPr>
              <w:t>TOP</w:t>
            </w:r>
            <w:r w:rsidRPr="00447533">
              <w:rPr>
                <w:b/>
                <w:sz w:val="20"/>
                <w:szCs w:val="20"/>
              </w:rPr>
              <w:t xml:space="preserve"> </w:t>
            </w:r>
          </w:p>
        </w:tc>
        <w:tc>
          <w:tcPr>
            <w:tcW w:w="4675" w:type="dxa"/>
          </w:tcPr>
          <w:p w14:paraId="24E64F67" w14:textId="7EE2C94D" w:rsidR="00447533" w:rsidRPr="00447533" w:rsidRDefault="00447533" w:rsidP="00447533">
            <w:pPr>
              <w:rPr>
                <w:sz w:val="20"/>
                <w:szCs w:val="20"/>
              </w:rPr>
            </w:pPr>
            <w:r w:rsidRPr="00447533">
              <w:rPr>
                <w:b/>
                <w:sz w:val="20"/>
                <w:szCs w:val="20"/>
              </w:rPr>
              <w:t xml:space="preserve">Surgical </w:t>
            </w:r>
            <w:r w:rsidR="00A47E94">
              <w:rPr>
                <w:b/>
                <w:sz w:val="20"/>
                <w:szCs w:val="20"/>
              </w:rPr>
              <w:t>TOP</w:t>
            </w:r>
            <w:r w:rsidRPr="00447533">
              <w:rPr>
                <w:b/>
                <w:sz w:val="20"/>
                <w:szCs w:val="20"/>
              </w:rPr>
              <w:t xml:space="preserve"> </w:t>
            </w:r>
          </w:p>
        </w:tc>
      </w:tr>
      <w:tr w:rsidR="00447533" w14:paraId="432B23CD" w14:textId="77777777" w:rsidTr="00447533">
        <w:tc>
          <w:tcPr>
            <w:tcW w:w="4675" w:type="dxa"/>
          </w:tcPr>
          <w:p w14:paraId="54DEAC3D" w14:textId="77777777"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Respectful, non-judgmental communication</w:t>
            </w:r>
          </w:p>
          <w:p w14:paraId="7D828B61" w14:textId="77777777"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Verbal support and reassurance</w:t>
            </w:r>
          </w:p>
          <w:p w14:paraId="142A05AC" w14:textId="77777777"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Thorough explanation of what to expect</w:t>
            </w:r>
          </w:p>
          <w:p w14:paraId="1E275E76" w14:textId="63570B75" w:rsidR="000310FE" w:rsidRDefault="00447533" w:rsidP="008D431E">
            <w:pPr>
              <w:pStyle w:val="ListParagraph"/>
              <w:numPr>
                <w:ilvl w:val="0"/>
                <w:numId w:val="12"/>
              </w:numPr>
              <w:spacing w:line="240" w:lineRule="auto"/>
              <w:contextualSpacing w:val="0"/>
              <w:rPr>
                <w:sz w:val="20"/>
                <w:szCs w:val="20"/>
              </w:rPr>
            </w:pPr>
            <w:r w:rsidRPr="00447533">
              <w:rPr>
                <w:sz w:val="20"/>
                <w:szCs w:val="20"/>
              </w:rPr>
              <w:t xml:space="preserve">The presence of a support person who can remain with the </w:t>
            </w:r>
            <w:r w:rsidR="007E04D7">
              <w:rPr>
                <w:sz w:val="20"/>
                <w:szCs w:val="20"/>
              </w:rPr>
              <w:t>individual</w:t>
            </w:r>
            <w:r w:rsidRPr="00447533">
              <w:rPr>
                <w:sz w:val="20"/>
                <w:szCs w:val="20"/>
              </w:rPr>
              <w:t xml:space="preserve"> during the process (if requested)</w:t>
            </w:r>
          </w:p>
          <w:p w14:paraId="182F4F1A" w14:textId="7F4F3EC1" w:rsidR="00447533" w:rsidRPr="000310FE" w:rsidRDefault="00447533" w:rsidP="008D431E">
            <w:pPr>
              <w:pStyle w:val="ListParagraph"/>
              <w:numPr>
                <w:ilvl w:val="0"/>
                <w:numId w:val="12"/>
              </w:numPr>
              <w:spacing w:line="240" w:lineRule="auto"/>
              <w:contextualSpacing w:val="0"/>
              <w:rPr>
                <w:sz w:val="20"/>
                <w:szCs w:val="20"/>
              </w:rPr>
            </w:pPr>
            <w:r w:rsidRPr="000310FE">
              <w:rPr>
                <w:sz w:val="20"/>
                <w:szCs w:val="20"/>
              </w:rPr>
              <w:t>Hot water bottle or heating pad</w:t>
            </w:r>
          </w:p>
        </w:tc>
        <w:tc>
          <w:tcPr>
            <w:tcW w:w="4675" w:type="dxa"/>
          </w:tcPr>
          <w:p w14:paraId="700429B4" w14:textId="55BD1CC5"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Respectful, non-judgmental</w:t>
            </w:r>
            <w:r>
              <w:rPr>
                <w:sz w:val="20"/>
                <w:szCs w:val="20"/>
              </w:rPr>
              <w:t xml:space="preserve"> </w:t>
            </w:r>
            <w:r w:rsidRPr="00447533">
              <w:rPr>
                <w:sz w:val="20"/>
                <w:szCs w:val="20"/>
              </w:rPr>
              <w:t>communication</w:t>
            </w:r>
          </w:p>
          <w:p w14:paraId="6AC0C4D1" w14:textId="77777777"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Verbal support and reassurance</w:t>
            </w:r>
          </w:p>
          <w:p w14:paraId="004B6B75" w14:textId="77777777"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Gentle, smooth operative technique</w:t>
            </w:r>
          </w:p>
          <w:p w14:paraId="30DAF8B6" w14:textId="6FBBB7EA" w:rsidR="00447533" w:rsidRPr="000310FE" w:rsidRDefault="00447533" w:rsidP="008D431E">
            <w:pPr>
              <w:pStyle w:val="ListParagraph"/>
              <w:numPr>
                <w:ilvl w:val="0"/>
                <w:numId w:val="12"/>
              </w:numPr>
              <w:spacing w:line="240" w:lineRule="auto"/>
              <w:contextualSpacing w:val="0"/>
              <w:rPr>
                <w:sz w:val="20"/>
                <w:szCs w:val="20"/>
              </w:rPr>
            </w:pPr>
            <w:r w:rsidRPr="00447533">
              <w:rPr>
                <w:sz w:val="20"/>
                <w:szCs w:val="20"/>
              </w:rPr>
              <w:t>Advanced notice of each step of the</w:t>
            </w:r>
            <w:r w:rsidR="000310FE">
              <w:rPr>
                <w:sz w:val="20"/>
                <w:szCs w:val="20"/>
              </w:rPr>
              <w:t xml:space="preserve"> </w:t>
            </w:r>
            <w:r w:rsidRPr="000310FE">
              <w:rPr>
                <w:sz w:val="20"/>
                <w:szCs w:val="20"/>
              </w:rPr>
              <w:t xml:space="preserve">procedure (upon </w:t>
            </w:r>
            <w:r w:rsidR="007E04D7">
              <w:rPr>
                <w:sz w:val="20"/>
                <w:szCs w:val="20"/>
              </w:rPr>
              <w:t>individual</w:t>
            </w:r>
            <w:r w:rsidRPr="000310FE">
              <w:rPr>
                <w:sz w:val="20"/>
                <w:szCs w:val="20"/>
              </w:rPr>
              <w:t xml:space="preserve"> request)</w:t>
            </w:r>
          </w:p>
          <w:p w14:paraId="5B842872" w14:textId="741F2CEF"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 xml:space="preserve">The presence of a support person who can remain with the </w:t>
            </w:r>
            <w:r w:rsidR="007E04D7">
              <w:rPr>
                <w:sz w:val="20"/>
                <w:szCs w:val="20"/>
              </w:rPr>
              <w:t>individual</w:t>
            </w:r>
            <w:r w:rsidRPr="00447533">
              <w:rPr>
                <w:sz w:val="20"/>
                <w:szCs w:val="20"/>
              </w:rPr>
              <w:t xml:space="preserve"> during the process (if requested)</w:t>
            </w:r>
          </w:p>
          <w:p w14:paraId="78107E71" w14:textId="77777777"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Encouraging deep, controlled breathing</w:t>
            </w:r>
          </w:p>
          <w:p w14:paraId="2BCFBDDF" w14:textId="77777777" w:rsidR="00447533" w:rsidRPr="00447533" w:rsidRDefault="00447533" w:rsidP="008D431E">
            <w:pPr>
              <w:pStyle w:val="ListParagraph"/>
              <w:numPr>
                <w:ilvl w:val="0"/>
                <w:numId w:val="12"/>
              </w:numPr>
              <w:spacing w:line="240" w:lineRule="auto"/>
              <w:contextualSpacing w:val="0"/>
              <w:rPr>
                <w:sz w:val="20"/>
                <w:szCs w:val="20"/>
              </w:rPr>
            </w:pPr>
            <w:r w:rsidRPr="00447533">
              <w:rPr>
                <w:sz w:val="20"/>
                <w:szCs w:val="20"/>
              </w:rPr>
              <w:t>Listening to music</w:t>
            </w:r>
          </w:p>
          <w:p w14:paraId="69FA5210" w14:textId="1967EA2B" w:rsidR="00447533" w:rsidRPr="000310FE" w:rsidRDefault="00447533" w:rsidP="008D431E">
            <w:pPr>
              <w:pStyle w:val="ListParagraph"/>
              <w:numPr>
                <w:ilvl w:val="0"/>
                <w:numId w:val="12"/>
              </w:numPr>
              <w:spacing w:line="240" w:lineRule="auto"/>
              <w:contextualSpacing w:val="0"/>
              <w:rPr>
                <w:color w:val="000000" w:themeColor="text1"/>
                <w:sz w:val="20"/>
                <w:szCs w:val="20"/>
              </w:rPr>
            </w:pPr>
            <w:r w:rsidRPr="00447533">
              <w:rPr>
                <w:sz w:val="20"/>
                <w:szCs w:val="20"/>
              </w:rPr>
              <w:t>Hot water bottle or heating pad</w:t>
            </w:r>
          </w:p>
        </w:tc>
      </w:tr>
    </w:tbl>
    <w:p w14:paraId="41C1C42E" w14:textId="77777777" w:rsidR="007D5ABD" w:rsidRPr="007D5ABD" w:rsidRDefault="007D5ABD" w:rsidP="007D5ABD">
      <w:pPr>
        <w:rPr>
          <w:szCs w:val="22"/>
        </w:rPr>
      </w:pPr>
    </w:p>
    <w:p w14:paraId="5C48BC7F" w14:textId="77777777" w:rsidR="0008786A" w:rsidRDefault="0008786A" w:rsidP="0008786A">
      <w:pPr>
        <w:pStyle w:val="Heading2"/>
      </w:pPr>
      <w:bookmarkStart w:id="82" w:name="_Toc525688603"/>
      <w:bookmarkStart w:id="83" w:name="_Toc8387208"/>
      <w:r>
        <w:t>Other considerations</w:t>
      </w:r>
      <w:bookmarkEnd w:id="82"/>
      <w:bookmarkEnd w:id="83"/>
    </w:p>
    <w:p w14:paraId="1A90F198" w14:textId="77777777" w:rsidR="000F5D79" w:rsidRDefault="000F5D79" w:rsidP="0008786A">
      <w:bookmarkStart w:id="84" w:name="_Toc525688604"/>
    </w:p>
    <w:p w14:paraId="6D7431CB" w14:textId="27B9B63C" w:rsidR="0008786A" w:rsidRPr="000F5D79" w:rsidRDefault="0008786A" w:rsidP="0008786A">
      <w:pPr>
        <w:rPr>
          <w:b/>
        </w:rPr>
      </w:pPr>
      <w:r w:rsidRPr="000F5D79">
        <w:rPr>
          <w:b/>
        </w:rPr>
        <w:t>Ectopic pregnancy</w:t>
      </w:r>
      <w:bookmarkEnd w:id="84"/>
      <w:r w:rsidRPr="000F5D79">
        <w:rPr>
          <w:b/>
        </w:rPr>
        <w:t xml:space="preserve"> </w:t>
      </w:r>
    </w:p>
    <w:p w14:paraId="0868848A" w14:textId="38F72EA1" w:rsidR="00B75C7C" w:rsidRDefault="0008786A" w:rsidP="0008786A">
      <w:r>
        <w:t>Ectopic pregnancy is an uncommon, but potentially life-thre</w:t>
      </w:r>
      <w:r w:rsidR="00B75C7C">
        <w:t xml:space="preserve">atening event, occurring in 1.5 to </w:t>
      </w:r>
      <w:r>
        <w:t>2% of pregnancies. Signs and symptoms that might indicate extrauterine pregnancy include</w:t>
      </w:r>
      <w:r w:rsidR="00B75C7C">
        <w:t>:</w:t>
      </w:r>
      <w:r>
        <w:t xml:space="preserve"> uterine size smaller than expected for the estimated length of pregnancy</w:t>
      </w:r>
      <w:r w:rsidR="00B75C7C">
        <w:t>; cervical motion tenderness;</w:t>
      </w:r>
      <w:r>
        <w:t xml:space="preserve"> lower abdominal pain, especially if accompanied by vaginal bleeding</w:t>
      </w:r>
      <w:r w:rsidR="00B75C7C">
        <w:t xml:space="preserve">; </w:t>
      </w:r>
      <w:r>
        <w:t>spotting</w:t>
      </w:r>
      <w:r w:rsidR="000F5D79">
        <w:t>,</w:t>
      </w:r>
      <w:r>
        <w:t xml:space="preserve"> dizziness or fainting</w:t>
      </w:r>
      <w:r w:rsidR="000F5D79">
        <w:t>,</w:t>
      </w:r>
      <w:r>
        <w:t xml:space="preserve"> pallor</w:t>
      </w:r>
      <w:r w:rsidR="000F5D79">
        <w:t>,</w:t>
      </w:r>
      <w:r>
        <w:t xml:space="preserve"> and, in some </w:t>
      </w:r>
      <w:r w:rsidR="00B75C7C">
        <w:t>individuals</w:t>
      </w:r>
      <w:r>
        <w:t xml:space="preserve">, an adnexal mass. </w:t>
      </w:r>
    </w:p>
    <w:p w14:paraId="28BB4407" w14:textId="77777777" w:rsidR="00B75C7C" w:rsidRDefault="00B75C7C" w:rsidP="0008786A"/>
    <w:p w14:paraId="41007075" w14:textId="77777777" w:rsidR="00B75C7C" w:rsidRDefault="0008786A" w:rsidP="0008786A">
      <w:r>
        <w:t>If ectopic pregnancy is suspected, it is essential to</w:t>
      </w:r>
      <w:r w:rsidR="00B75C7C">
        <w:t>:</w:t>
      </w:r>
    </w:p>
    <w:p w14:paraId="6D660D62" w14:textId="77777777" w:rsidR="00B75C7C" w:rsidRDefault="00B75C7C" w:rsidP="008D431E">
      <w:pPr>
        <w:pStyle w:val="ListParagraph"/>
        <w:numPr>
          <w:ilvl w:val="0"/>
          <w:numId w:val="30"/>
        </w:numPr>
      </w:pPr>
      <w:r>
        <w:t>C</w:t>
      </w:r>
      <w:r w:rsidR="0008786A">
        <w:t xml:space="preserve">onfirm </w:t>
      </w:r>
      <w:r>
        <w:t>the diagnosis immediately</w:t>
      </w:r>
    </w:p>
    <w:p w14:paraId="27B47195" w14:textId="77777777" w:rsidR="00AD02E2" w:rsidRDefault="00B75C7C" w:rsidP="008D431E">
      <w:pPr>
        <w:pStyle w:val="ListParagraph"/>
        <w:numPr>
          <w:ilvl w:val="0"/>
          <w:numId w:val="30"/>
        </w:numPr>
      </w:pPr>
      <w:r>
        <w:t>I</w:t>
      </w:r>
      <w:r w:rsidR="0008786A">
        <w:t xml:space="preserve">nitiate treatment or transfer the </w:t>
      </w:r>
      <w:r>
        <w:t>individual</w:t>
      </w:r>
      <w:r w:rsidR="0008786A">
        <w:t xml:space="preserve"> as soon as possible to a facility that has the capacity to confirm diagnosis and provide treatment</w:t>
      </w:r>
      <w:r w:rsidR="000F5D79">
        <w:t xml:space="preserve">. </w:t>
      </w:r>
    </w:p>
    <w:p w14:paraId="6B7811E6" w14:textId="77777777" w:rsidR="00C17AE6" w:rsidRDefault="00C17AE6" w:rsidP="00C17AE6"/>
    <w:p w14:paraId="1DA73AE6" w14:textId="1DB2B28A" w:rsidR="0008786A" w:rsidRDefault="00C17AE6" w:rsidP="00C17AE6">
      <w:r>
        <w:t xml:space="preserve">Note: </w:t>
      </w:r>
      <w:r w:rsidR="0008786A">
        <w:t xml:space="preserve">The inspection of aspirated tissue following a surgical </w:t>
      </w:r>
      <w:r w:rsidR="00A47E94">
        <w:t>TOP</w:t>
      </w:r>
      <w:r w:rsidR="0008786A">
        <w:t xml:space="preserve"> procedure can nearly eliminate the risk of an ectopic pregnancy going undetected</w:t>
      </w:r>
      <w:r w:rsidR="000F5D79">
        <w:t>.</w:t>
      </w:r>
    </w:p>
    <w:p w14:paraId="5A7A5037" w14:textId="77777777" w:rsidR="000F5D79" w:rsidRDefault="000F5D79" w:rsidP="0008786A"/>
    <w:p w14:paraId="338B50AA" w14:textId="52E4E431" w:rsidR="0008786A" w:rsidRDefault="00C17AE6" w:rsidP="0008786A">
      <w:r>
        <w:t>Neither</w:t>
      </w:r>
      <w:r w:rsidR="0008786A">
        <w:t xml:space="preserve"> mifepristone nor misoprostol are treatments for ectopic pregnancy, which, if present, will con</w:t>
      </w:r>
      <w:r w:rsidR="001606CD">
        <w:t>tinue to grow. Therefore,</w:t>
      </w:r>
      <w:r w:rsidR="00764BE6">
        <w:t xml:space="preserve"> health care</w:t>
      </w:r>
      <w:r w:rsidR="0021011E">
        <w:t xml:space="preserve"> professionals </w:t>
      </w:r>
      <w:r w:rsidR="0008786A">
        <w:t>must be particularly alert to clinical signs of ectopic pregnancy</w:t>
      </w:r>
      <w:r>
        <w:t xml:space="preserve"> as listed above. </w:t>
      </w:r>
    </w:p>
    <w:p w14:paraId="40933226" w14:textId="77777777" w:rsidR="0084631B" w:rsidRDefault="0084631B" w:rsidP="0008786A"/>
    <w:p w14:paraId="02A24BB3" w14:textId="32A5C938" w:rsidR="0008786A" w:rsidRPr="00C17AE6" w:rsidRDefault="0008786A" w:rsidP="00C17AE6">
      <w:pPr>
        <w:spacing w:line="240" w:lineRule="auto"/>
        <w:rPr>
          <w:rFonts w:ascii="Times New Roman" w:eastAsia="Times New Roman" w:hAnsi="Times New Roman" w:cs="Times New Roman"/>
          <w:sz w:val="24"/>
          <w:lang w:val="en-CA" w:eastAsia="en-CA"/>
        </w:rPr>
      </w:pPr>
      <w:r>
        <w:t>Where clinical features raise suspicion of an ectopic pregnancy, further investigations should be performed</w:t>
      </w:r>
      <w:r w:rsidR="001F6124">
        <w:t xml:space="preserve">. </w:t>
      </w:r>
      <w:r>
        <w:t xml:space="preserve">These may include pelvic ultrasound and serial </w:t>
      </w:r>
      <w:r w:rsidR="00C17AE6">
        <w:t>beta-</w:t>
      </w:r>
      <w:r>
        <w:t xml:space="preserve">human chorionic gonadotrophin </w:t>
      </w:r>
      <w:r w:rsidRPr="00C17AE6">
        <w:rPr>
          <w:rFonts w:ascii="Calibri" w:hAnsi="Calibri" w:cs="Calibri"/>
          <w:color w:val="000000" w:themeColor="text1"/>
          <w:szCs w:val="22"/>
        </w:rPr>
        <w:t>(</w:t>
      </w:r>
      <w:r w:rsidR="00C17AE6" w:rsidRPr="00C17AE6">
        <w:rPr>
          <w:rFonts w:ascii="Calibri" w:eastAsia="Times New Roman" w:hAnsi="Calibri" w:cs="Calibri"/>
          <w:color w:val="000000" w:themeColor="text1"/>
          <w:szCs w:val="22"/>
          <w:lang w:val="en-CA" w:eastAsia="en-CA"/>
        </w:rPr>
        <w:t>β-</w:t>
      </w:r>
      <w:r>
        <w:lastRenderedPageBreak/>
        <w:t>hCG) measureme</w:t>
      </w:r>
      <w:r w:rsidR="0021011E">
        <w:t xml:space="preserve">nts. </w:t>
      </w:r>
      <w:r w:rsidR="00C17AE6">
        <w:t xml:space="preserve">The </w:t>
      </w:r>
      <w:r w:rsidR="0021011E">
        <w:t xml:space="preserve">individual </w:t>
      </w:r>
      <w:r>
        <w:t>should be transferred to an appropriate referral centre for treatment.</w:t>
      </w:r>
    </w:p>
    <w:p w14:paraId="28AAEB65" w14:textId="77777777" w:rsidR="001F6124" w:rsidRDefault="001F6124" w:rsidP="0008786A"/>
    <w:p w14:paraId="273EBF83" w14:textId="77777777" w:rsidR="0008786A" w:rsidRPr="001F6124" w:rsidRDefault="0008786A" w:rsidP="0008786A">
      <w:pPr>
        <w:rPr>
          <w:b/>
        </w:rPr>
      </w:pPr>
      <w:bookmarkStart w:id="85" w:name="_Toc525688605"/>
      <w:r w:rsidRPr="001F6124">
        <w:rPr>
          <w:b/>
        </w:rPr>
        <w:t>Rh-isoimmunization</w:t>
      </w:r>
      <w:bookmarkEnd w:id="85"/>
      <w:r w:rsidRPr="001F6124">
        <w:rPr>
          <w:b/>
        </w:rPr>
        <w:t xml:space="preserve"> </w:t>
      </w:r>
    </w:p>
    <w:p w14:paraId="5B271554" w14:textId="7B23DEF0" w:rsidR="00C32095" w:rsidRDefault="0008786A" w:rsidP="0008786A">
      <w:r>
        <w:t>Rh</w:t>
      </w:r>
      <w:r w:rsidR="00DB0379">
        <w:t>esus (Rh)-</w:t>
      </w:r>
      <w:r>
        <w:t xml:space="preserve">testing is not a requirement for </w:t>
      </w:r>
      <w:r w:rsidR="001B5121">
        <w:t>TOP</w:t>
      </w:r>
      <w:r>
        <w:t xml:space="preserve"> services</w:t>
      </w:r>
      <w:r w:rsidR="00D30A2C">
        <w:t>, especially</w:t>
      </w:r>
      <w:r>
        <w:t xml:space="preserve"> where it is not </w:t>
      </w:r>
      <w:r w:rsidR="00D30A2C">
        <w:t>available,</w:t>
      </w:r>
      <w:r>
        <w:t xml:space="preserve"> or </w:t>
      </w:r>
      <w:r w:rsidR="00C32095">
        <w:t xml:space="preserve">if </w:t>
      </w:r>
      <w:r>
        <w:t>the prevalence of Rh-negativ</w:t>
      </w:r>
      <w:r w:rsidR="00D30A2C">
        <w:t xml:space="preserve">e status is low. There is currently </w:t>
      </w:r>
      <w:r>
        <w:t xml:space="preserve">no conclusive evidence about the need for this measure after early induced </w:t>
      </w:r>
      <w:r w:rsidR="00C00D3B">
        <w:t>TOP</w:t>
      </w:r>
      <w:r>
        <w:t xml:space="preserve">. </w:t>
      </w:r>
    </w:p>
    <w:p w14:paraId="546D1C18" w14:textId="77777777" w:rsidR="00C32095" w:rsidRDefault="00C32095" w:rsidP="0008786A"/>
    <w:p w14:paraId="1A446511" w14:textId="0B9662FA" w:rsidR="00C32095" w:rsidRDefault="0008786A" w:rsidP="0008786A">
      <w:r>
        <w:t>In settings where the prevalenc</w:t>
      </w:r>
      <w:r w:rsidR="00DB0379">
        <w:t>e of Rh-negative status is high</w:t>
      </w:r>
      <w:r>
        <w:t xml:space="preserve"> and Rh-immunoglobulin is routinely provided in the facility to Rh-negative </w:t>
      </w:r>
      <w:r w:rsidR="00A405D0">
        <w:t>individuals</w:t>
      </w:r>
      <w:r>
        <w:t xml:space="preserve">, it should be administered at the time of the </w:t>
      </w:r>
      <w:r w:rsidR="00C00D3B">
        <w:t>TOP</w:t>
      </w:r>
      <w:r>
        <w:t xml:space="preserve"> procedure. The dose of Rh-immunoglobulin may be reduced from 300 µg (the dose given after term delivery) to 50 μg in pregnancies of less than 12 weeks’ duration. </w:t>
      </w:r>
      <w:r w:rsidR="00D30A2C">
        <w:t>However, i</w:t>
      </w:r>
      <w:r>
        <w:t>n pr</w:t>
      </w:r>
      <w:r w:rsidR="00D30A2C">
        <w:t xml:space="preserve">egnancies up to 9 </w:t>
      </w:r>
      <w:r w:rsidR="00C32095">
        <w:t>weeks’</w:t>
      </w:r>
      <w:r w:rsidR="00D30A2C">
        <w:t xml:space="preserve"> </w:t>
      </w:r>
      <w:r>
        <w:t xml:space="preserve">gestation, the theoretical risk of maternal Rh-sensitization with medical </w:t>
      </w:r>
      <w:r w:rsidR="00A47E94">
        <w:t>TOP</w:t>
      </w:r>
      <w:r>
        <w:t xml:space="preserve"> is very low</w:t>
      </w:r>
      <w:r w:rsidR="00C00D3B">
        <w:t xml:space="preserve">. </w:t>
      </w:r>
      <w:r>
        <w:t xml:space="preserve">Thus, determination of Rh status and the offer of anti-D prophylaxis are not considered prerequisites for early medical </w:t>
      </w:r>
      <w:r w:rsidR="00C00D3B">
        <w:t>TOP</w:t>
      </w:r>
      <w:r>
        <w:t xml:space="preserve">. </w:t>
      </w:r>
    </w:p>
    <w:p w14:paraId="2C65074F" w14:textId="77777777" w:rsidR="00C32095" w:rsidRDefault="00C32095" w:rsidP="0008786A"/>
    <w:p w14:paraId="682BDBE8" w14:textId="4CE5F140" w:rsidR="0008786A" w:rsidRDefault="0008786A" w:rsidP="0008786A">
      <w:r>
        <w:t>If Rh-immunoglobulin is available, administration of the</w:t>
      </w:r>
      <w:r w:rsidR="00BD0DC2">
        <w:t xml:space="preserve"> immunoglobulin to Rh-negative individuals</w:t>
      </w:r>
      <w:r>
        <w:t xml:space="preserve"> having a medical </w:t>
      </w:r>
      <w:r w:rsidR="00C00D3B">
        <w:t>TOP</w:t>
      </w:r>
      <w:r>
        <w:t xml:space="preserve"> is recommended at the time of the prostaglandin administration.</w:t>
      </w:r>
      <w:r w:rsidR="00C00D3B">
        <w:t xml:space="preserve"> </w:t>
      </w:r>
      <w:r w:rsidR="00BD0DC2">
        <w:t>For individuals</w:t>
      </w:r>
      <w:r>
        <w:t xml:space="preserve"> using misoprostol at home, Rh-immunoglobulin may be administered at the time mifepristone is taken.</w:t>
      </w:r>
    </w:p>
    <w:p w14:paraId="51DCA1C3" w14:textId="77777777" w:rsidR="00C00D3B" w:rsidRDefault="00C00D3B" w:rsidP="0008786A">
      <w:bookmarkStart w:id="86" w:name="_Toc525688606"/>
    </w:p>
    <w:p w14:paraId="75A04731" w14:textId="3F337ABA" w:rsidR="0008786A" w:rsidRPr="001F0CF4" w:rsidRDefault="0008786A" w:rsidP="00C00D3B">
      <w:pPr>
        <w:pStyle w:val="Heading2"/>
      </w:pPr>
      <w:bookmarkStart w:id="87" w:name="_Toc8387209"/>
      <w:r w:rsidRPr="001F0CF4">
        <w:t xml:space="preserve">Medical </w:t>
      </w:r>
      <w:r w:rsidR="007E04D7">
        <w:t>t</w:t>
      </w:r>
      <w:r w:rsidRPr="001F0CF4">
        <w:t xml:space="preserve">ermination of </w:t>
      </w:r>
      <w:r w:rsidR="007E04D7">
        <w:t>p</w:t>
      </w:r>
      <w:r w:rsidRPr="001F0CF4">
        <w:t>regnancy</w:t>
      </w:r>
      <w:bookmarkEnd w:id="86"/>
      <w:bookmarkEnd w:id="87"/>
      <w:r w:rsidRPr="001F0CF4">
        <w:t xml:space="preserve"> </w:t>
      </w:r>
    </w:p>
    <w:p w14:paraId="7DBCA772" w14:textId="77777777" w:rsidR="009A6EBD" w:rsidRDefault="009A6EBD" w:rsidP="0008786A">
      <w:pPr>
        <w:rPr>
          <w:lang w:val="en-CA"/>
        </w:rPr>
      </w:pPr>
    </w:p>
    <w:p w14:paraId="20D822EE" w14:textId="326AFF3E" w:rsidR="0008786A" w:rsidRPr="008B6A38" w:rsidRDefault="0008786A" w:rsidP="0008786A">
      <w:pPr>
        <w:rPr>
          <w:lang w:val="en-CA"/>
        </w:rPr>
      </w:pPr>
      <w:r w:rsidRPr="0001299D">
        <w:rPr>
          <w:lang w:val="en-CA"/>
        </w:rPr>
        <w:t xml:space="preserve">Medical </w:t>
      </w:r>
      <w:r w:rsidR="009A6EBD">
        <w:rPr>
          <w:lang w:val="en-CA"/>
        </w:rPr>
        <w:t>TOP</w:t>
      </w:r>
      <w:r w:rsidRPr="0001299D">
        <w:rPr>
          <w:lang w:val="en-CA"/>
        </w:rPr>
        <w:t xml:space="preserve"> is a multistep process involving two medications (mifepristone and misoprostol) and/or multiple doses of one medication (misoprostol alone).</w:t>
      </w:r>
    </w:p>
    <w:p w14:paraId="2BD78CE7" w14:textId="77777777" w:rsidR="007E04D7" w:rsidRDefault="007E04D7" w:rsidP="0008786A">
      <w:bookmarkStart w:id="88" w:name="_Toc525688607"/>
    </w:p>
    <w:p w14:paraId="1EC0CF51" w14:textId="34F81201" w:rsidR="0008786A" w:rsidRPr="007E04D7" w:rsidRDefault="0008786A" w:rsidP="0008786A">
      <w:pPr>
        <w:rPr>
          <w:b/>
        </w:rPr>
      </w:pPr>
      <w:r w:rsidRPr="007E04D7">
        <w:rPr>
          <w:b/>
        </w:rPr>
        <w:t>Clinical Considerations</w:t>
      </w:r>
      <w:bookmarkEnd w:id="88"/>
      <w:r w:rsidRPr="007E04D7">
        <w:rPr>
          <w:b/>
        </w:rPr>
        <w:t xml:space="preserve"> </w:t>
      </w:r>
    </w:p>
    <w:p w14:paraId="65DE1B82" w14:textId="77777777" w:rsidR="0008786A" w:rsidRPr="00E26F64" w:rsidRDefault="0008786A" w:rsidP="0008786A">
      <w:pPr>
        <w:rPr>
          <w:sz w:val="2"/>
        </w:rPr>
      </w:pPr>
    </w:p>
    <w:p w14:paraId="14D23634" w14:textId="3B9AA677" w:rsidR="0008786A" w:rsidRDefault="006E7206" w:rsidP="0008786A">
      <w:pPr>
        <w:rPr>
          <w:lang w:val="en-CA"/>
        </w:rPr>
      </w:pPr>
      <w:r>
        <w:rPr>
          <w:lang w:val="en-CA"/>
        </w:rPr>
        <w:t>A</w:t>
      </w:r>
      <w:r w:rsidR="004B0A3B">
        <w:rPr>
          <w:lang w:val="en-CA"/>
        </w:rPr>
        <w:t xml:space="preserve"> combined regimen</w:t>
      </w:r>
      <w:r>
        <w:rPr>
          <w:lang w:val="en-CA"/>
        </w:rPr>
        <w:t xml:space="preserve"> of m</w:t>
      </w:r>
      <w:r w:rsidR="0008786A" w:rsidRPr="00E26F64">
        <w:rPr>
          <w:lang w:val="en-CA"/>
        </w:rPr>
        <w:t>ifepristone with misoprostol is</w:t>
      </w:r>
      <w:r w:rsidR="00EB3A3A">
        <w:rPr>
          <w:lang w:val="en-CA"/>
        </w:rPr>
        <w:t xml:space="preserve"> the preferred regimen for medical TOP as it is</w:t>
      </w:r>
      <w:r w:rsidR="0008786A" w:rsidRPr="00E26F64">
        <w:rPr>
          <w:lang w:val="en-CA"/>
        </w:rPr>
        <w:t xml:space="preserve"> more effective</w:t>
      </w:r>
      <w:r>
        <w:rPr>
          <w:lang w:val="en-CA"/>
        </w:rPr>
        <w:t xml:space="preserve"> and safe with success rates of over 95%, continuing pregnancy rates of less than 2% and com</w:t>
      </w:r>
      <w:r w:rsidR="004B0A3B">
        <w:rPr>
          <w:lang w:val="en-CA"/>
        </w:rPr>
        <w:t xml:space="preserve">plication rates of up to 3% up to 13 weeks + 0 days gestation, compared to misoprostol-only regimen which has lower success rates of 85%, with continuing pregnancy rates of 3-10% and complication rates of up to 4% up to 13 weeks + 0 days gestation. The combined regimen of mifepristone and misoprostol also </w:t>
      </w:r>
      <w:r w:rsidR="0008786A">
        <w:rPr>
          <w:lang w:val="en-CA"/>
        </w:rPr>
        <w:t xml:space="preserve">results in faster completion of </w:t>
      </w:r>
      <w:r w:rsidR="007E04D7">
        <w:rPr>
          <w:lang w:val="en-CA"/>
        </w:rPr>
        <w:t>TOP</w:t>
      </w:r>
      <w:r w:rsidR="00EB3A3A">
        <w:rPr>
          <w:lang w:val="en-CA"/>
        </w:rPr>
        <w:t xml:space="preserve"> and is associated with fewer side-effects</w:t>
      </w:r>
      <w:r w:rsidR="0008786A">
        <w:rPr>
          <w:lang w:val="en-CA"/>
        </w:rPr>
        <w:t xml:space="preserve"> than using misoprostol only</w:t>
      </w:r>
      <w:r w:rsidR="00EB3A3A">
        <w:rPr>
          <w:lang w:val="en-CA"/>
        </w:rPr>
        <w:t>.</w:t>
      </w:r>
      <w:r w:rsidR="0008786A">
        <w:rPr>
          <w:lang w:val="en-CA"/>
        </w:rPr>
        <w:t xml:space="preserve"> </w:t>
      </w:r>
    </w:p>
    <w:p w14:paraId="5F76128D" w14:textId="77777777" w:rsidR="0008786A" w:rsidRPr="00E26F64" w:rsidRDefault="0008786A" w:rsidP="0008786A">
      <w:pPr>
        <w:rPr>
          <w:lang w:val="en-CA"/>
        </w:rPr>
      </w:pPr>
    </w:p>
    <w:p w14:paraId="0E9C0901" w14:textId="2474EC47" w:rsidR="0008786A" w:rsidRPr="007E04D7" w:rsidRDefault="00AC5321" w:rsidP="007E04D7">
      <w:pPr>
        <w:pStyle w:val="ListParagraph"/>
        <w:numPr>
          <w:ilvl w:val="0"/>
          <w:numId w:val="3"/>
        </w:numPr>
        <w:rPr>
          <w:lang w:val="en-ZA"/>
        </w:rPr>
      </w:pPr>
      <w:r>
        <w:rPr>
          <w:lang w:val="en-ZA"/>
        </w:rPr>
        <w:t>H</w:t>
      </w:r>
      <w:r w:rsidR="0008786A" w:rsidRPr="007E04D7">
        <w:rPr>
          <w:lang w:val="en-ZA"/>
        </w:rPr>
        <w:t xml:space="preserve">ome-use of misoprostol </w:t>
      </w:r>
      <w:r w:rsidR="00EB3A3A">
        <w:rPr>
          <w:lang w:val="en-ZA"/>
        </w:rPr>
        <w:t xml:space="preserve">(up to 10 weeks + 0 days gestation) </w:t>
      </w:r>
      <w:r w:rsidR="0008786A" w:rsidRPr="007E04D7">
        <w:rPr>
          <w:lang w:val="en-ZA"/>
        </w:rPr>
        <w:t>following provision of mifepristone at a health care facility can improve the privacy, convenience</w:t>
      </w:r>
      <w:r w:rsidR="007E04D7" w:rsidRPr="007E04D7">
        <w:rPr>
          <w:lang w:val="en-ZA"/>
        </w:rPr>
        <w:t>,</w:t>
      </w:r>
      <w:r w:rsidR="0008786A" w:rsidRPr="007E04D7">
        <w:rPr>
          <w:lang w:val="en-ZA"/>
        </w:rPr>
        <w:t xml:space="preserve"> and acceptability of services, and has been shown to be safe and effective. </w:t>
      </w:r>
    </w:p>
    <w:p w14:paraId="13122EE0" w14:textId="7E552E43" w:rsidR="0008786A" w:rsidRPr="007E04D7" w:rsidRDefault="0008786A" w:rsidP="007E04D7">
      <w:pPr>
        <w:pStyle w:val="ListParagraph"/>
        <w:numPr>
          <w:ilvl w:val="0"/>
          <w:numId w:val="3"/>
        </w:numPr>
        <w:rPr>
          <w:lang w:val="en-ZA"/>
        </w:rPr>
      </w:pPr>
      <w:r w:rsidRPr="007E04D7">
        <w:rPr>
          <w:lang w:val="en-ZA"/>
        </w:rPr>
        <w:t xml:space="preserve">Facility-based TOP care should be reserved for the management of medical TOP for pregnancies over </w:t>
      </w:r>
      <w:r w:rsidR="00EB3A3A">
        <w:rPr>
          <w:lang w:val="en-ZA"/>
        </w:rPr>
        <w:t>10</w:t>
      </w:r>
      <w:r w:rsidR="002A15C7">
        <w:rPr>
          <w:lang w:val="en-ZA"/>
        </w:rPr>
        <w:t xml:space="preserve"> weeks + 0 days</w:t>
      </w:r>
      <w:r w:rsidRPr="007E04D7">
        <w:rPr>
          <w:lang w:val="en-ZA"/>
        </w:rPr>
        <w:t xml:space="preserve"> and management of severe </w:t>
      </w:r>
      <w:r w:rsidR="007E04D7" w:rsidRPr="007E04D7">
        <w:rPr>
          <w:lang w:val="en-ZA"/>
        </w:rPr>
        <w:t>TOP</w:t>
      </w:r>
      <w:r w:rsidRPr="007E04D7">
        <w:rPr>
          <w:lang w:val="en-ZA"/>
        </w:rPr>
        <w:t xml:space="preserve"> complications. </w:t>
      </w:r>
      <w:r w:rsidR="002A15C7">
        <w:rPr>
          <w:lang w:val="en-ZA"/>
        </w:rPr>
        <w:t xml:space="preserve">Individuals </w:t>
      </w:r>
      <w:r w:rsidRPr="007E04D7">
        <w:rPr>
          <w:lang w:val="en-ZA"/>
        </w:rPr>
        <w:t xml:space="preserve">must be able to access advice and emergency care in the event of complications, if necessary. </w:t>
      </w:r>
    </w:p>
    <w:p w14:paraId="3B9D141A" w14:textId="77777777" w:rsidR="0008786A" w:rsidRPr="007E04D7" w:rsidRDefault="0008786A" w:rsidP="007E04D7">
      <w:pPr>
        <w:pStyle w:val="ListParagraph"/>
        <w:numPr>
          <w:ilvl w:val="0"/>
          <w:numId w:val="3"/>
        </w:numPr>
        <w:rPr>
          <w:lang w:val="en-ZA"/>
        </w:rPr>
      </w:pPr>
      <w:r w:rsidRPr="007E04D7">
        <w:rPr>
          <w:lang w:val="en-ZA"/>
        </w:rPr>
        <w:t xml:space="preserve">Mifepristone and misoprostol do not terminate ectopic pregnancy. </w:t>
      </w:r>
    </w:p>
    <w:p w14:paraId="1419034A" w14:textId="1487555E" w:rsidR="0008786A" w:rsidRPr="007E04D7" w:rsidRDefault="0008786A" w:rsidP="007E04D7">
      <w:pPr>
        <w:pStyle w:val="ListParagraph"/>
        <w:numPr>
          <w:ilvl w:val="0"/>
          <w:numId w:val="3"/>
        </w:numPr>
        <w:rPr>
          <w:lang w:val="en-ZA"/>
        </w:rPr>
      </w:pPr>
      <w:r w:rsidRPr="007E04D7">
        <w:rPr>
          <w:lang w:val="en-ZA"/>
        </w:rPr>
        <w:lastRenderedPageBreak/>
        <w:t xml:space="preserve">Absence of bleeding is a possible indication that the pregnancy may be ectopic, but it may also signify that an intrauterine pregnancy did not </w:t>
      </w:r>
      <w:r w:rsidR="007E04D7">
        <w:rPr>
          <w:lang w:val="en-ZA"/>
        </w:rPr>
        <w:t>terminate</w:t>
      </w:r>
      <w:r w:rsidRPr="007E04D7">
        <w:rPr>
          <w:lang w:val="en-ZA"/>
        </w:rPr>
        <w:t xml:space="preserve">. </w:t>
      </w:r>
    </w:p>
    <w:p w14:paraId="1E9FD932" w14:textId="24F635D3" w:rsidR="0008786A" w:rsidRPr="007E04D7" w:rsidRDefault="0008786A" w:rsidP="007E04D7">
      <w:pPr>
        <w:pStyle w:val="ListParagraph"/>
        <w:numPr>
          <w:ilvl w:val="0"/>
          <w:numId w:val="3"/>
        </w:numPr>
        <w:rPr>
          <w:lang w:val="en-ZA"/>
        </w:rPr>
      </w:pPr>
      <w:r w:rsidRPr="007E04D7">
        <w:rPr>
          <w:lang w:val="en-ZA"/>
        </w:rPr>
        <w:t>Even if a pregnancy is ectopic, a</w:t>
      </w:r>
      <w:r w:rsidR="002A15C7">
        <w:rPr>
          <w:lang w:val="en-ZA"/>
        </w:rPr>
        <w:t>n individual</w:t>
      </w:r>
      <w:r w:rsidRPr="007E04D7">
        <w:rPr>
          <w:lang w:val="en-ZA"/>
        </w:rPr>
        <w:t xml:space="preserve"> can experience some bleeding after taking mifepristone and misoprostol because the decidua may respond to the medications. </w:t>
      </w:r>
    </w:p>
    <w:p w14:paraId="18781628" w14:textId="69385EB0" w:rsidR="007D5ABD" w:rsidRDefault="0008786A" w:rsidP="007E04D7">
      <w:pPr>
        <w:pStyle w:val="ListParagraph"/>
        <w:numPr>
          <w:ilvl w:val="0"/>
          <w:numId w:val="3"/>
        </w:numPr>
        <w:rPr>
          <w:lang w:val="en-CA"/>
        </w:rPr>
      </w:pPr>
      <w:r w:rsidRPr="007E04D7">
        <w:rPr>
          <w:lang w:val="en-ZA"/>
        </w:rPr>
        <w:t xml:space="preserve">Evaluate the </w:t>
      </w:r>
      <w:r w:rsidR="002A15C7">
        <w:rPr>
          <w:lang w:val="en-ZA"/>
        </w:rPr>
        <w:t>individual for ectopic pregnancy if they</w:t>
      </w:r>
      <w:r w:rsidRPr="007E04D7">
        <w:rPr>
          <w:lang w:val="en-ZA"/>
        </w:rPr>
        <w:t xml:space="preserve"> </w:t>
      </w:r>
      <w:r w:rsidR="00FF778E" w:rsidRPr="007E04D7">
        <w:rPr>
          <w:lang w:val="en-ZA"/>
        </w:rPr>
        <w:t>report</w:t>
      </w:r>
      <w:r w:rsidRPr="007E04D7">
        <w:rPr>
          <w:lang w:val="en-ZA"/>
        </w:rPr>
        <w:t xml:space="preserve"> signs or symptoms of ongoing pregnancy after</w:t>
      </w:r>
      <w:r w:rsidRPr="007E04D7">
        <w:rPr>
          <w:lang w:val="en-CA"/>
        </w:rPr>
        <w:t xml:space="preserve"> medical TOP.</w:t>
      </w:r>
    </w:p>
    <w:p w14:paraId="493367DF" w14:textId="43E6CE13" w:rsidR="003440B1" w:rsidRDefault="003440B1" w:rsidP="003440B1">
      <w:pPr>
        <w:rPr>
          <w:lang w:val="en-CA"/>
        </w:rPr>
      </w:pPr>
    </w:p>
    <w:p w14:paraId="087C836D" w14:textId="030EB5BC" w:rsidR="003440B1" w:rsidRPr="003440B1" w:rsidRDefault="003440B1" w:rsidP="003440B1">
      <w:pPr>
        <w:rPr>
          <w:b/>
          <w:lang w:val="en-CA"/>
        </w:rPr>
      </w:pPr>
      <w:r w:rsidRPr="003440B1">
        <w:rPr>
          <w:b/>
          <w:lang w:val="en-CA"/>
        </w:rPr>
        <w:t>First Trimester</w:t>
      </w:r>
      <w:r w:rsidR="00D76A18">
        <w:rPr>
          <w:b/>
          <w:lang w:val="en-CA"/>
        </w:rPr>
        <w:t xml:space="preserve"> (</w:t>
      </w:r>
      <w:r w:rsidR="00D76A18" w:rsidRPr="00E75015">
        <w:rPr>
          <w:b/>
          <w:u w:val="single"/>
          <w:lang w:val="en-CA"/>
        </w:rPr>
        <w:t>&lt;</w:t>
      </w:r>
      <w:r w:rsidR="00D76A18">
        <w:rPr>
          <w:b/>
          <w:lang w:val="en-CA"/>
        </w:rPr>
        <w:t>12 weeks</w:t>
      </w:r>
      <w:r w:rsidR="00E75015">
        <w:rPr>
          <w:b/>
          <w:lang w:val="en-CA"/>
        </w:rPr>
        <w:t xml:space="preserve"> + 0</w:t>
      </w:r>
      <w:r w:rsidR="00C727D4">
        <w:rPr>
          <w:b/>
          <w:lang w:val="en-CA"/>
        </w:rPr>
        <w:t xml:space="preserve"> day</w:t>
      </w:r>
      <w:r w:rsidR="00E75015">
        <w:rPr>
          <w:b/>
          <w:lang w:val="en-CA"/>
        </w:rPr>
        <w:t>s</w:t>
      </w:r>
      <w:r w:rsidR="00D76A18">
        <w:rPr>
          <w:b/>
          <w:lang w:val="en-CA"/>
        </w:rPr>
        <w:t>)</w:t>
      </w:r>
    </w:p>
    <w:p w14:paraId="5F489E59" w14:textId="6559165F" w:rsidR="007E04D7" w:rsidRDefault="007E04D7" w:rsidP="007E04D7">
      <w:pPr>
        <w:rPr>
          <w:lang w:val="en-CA"/>
        </w:rPr>
      </w:pPr>
    </w:p>
    <w:p w14:paraId="4531D464" w14:textId="1D7F51C6" w:rsidR="003440B1" w:rsidRPr="00C727D4" w:rsidRDefault="003440B1" w:rsidP="003440B1">
      <w:pPr>
        <w:pStyle w:val="Caption"/>
        <w:keepNext/>
        <w:rPr>
          <w:sz w:val="20"/>
        </w:rPr>
      </w:pPr>
      <w:bookmarkStart w:id="89" w:name="_Toc8387224"/>
      <w:r w:rsidRPr="00C727D4">
        <w:rPr>
          <w:sz w:val="20"/>
        </w:rPr>
        <w:t xml:space="preserve">Table </w:t>
      </w:r>
      <w:r w:rsidRPr="00C727D4">
        <w:rPr>
          <w:sz w:val="20"/>
        </w:rPr>
        <w:fldChar w:fldCharType="begin"/>
      </w:r>
      <w:r w:rsidRPr="00C727D4">
        <w:rPr>
          <w:sz w:val="20"/>
        </w:rPr>
        <w:instrText xml:space="preserve"> SEQ Table \* ARABIC </w:instrText>
      </w:r>
      <w:r w:rsidRPr="00C727D4">
        <w:rPr>
          <w:sz w:val="20"/>
        </w:rPr>
        <w:fldChar w:fldCharType="separate"/>
      </w:r>
      <w:r w:rsidR="00183285" w:rsidRPr="00C727D4">
        <w:rPr>
          <w:noProof/>
          <w:sz w:val="20"/>
        </w:rPr>
        <w:t>6</w:t>
      </w:r>
      <w:r w:rsidRPr="00C727D4">
        <w:rPr>
          <w:sz w:val="20"/>
        </w:rPr>
        <w:fldChar w:fldCharType="end"/>
      </w:r>
      <w:r w:rsidRPr="00C727D4">
        <w:rPr>
          <w:sz w:val="20"/>
        </w:rPr>
        <w:t xml:space="preserve">. </w:t>
      </w:r>
      <w:r w:rsidR="00947049">
        <w:rPr>
          <w:sz w:val="20"/>
        </w:rPr>
        <w:t xml:space="preserve">Combined </w:t>
      </w:r>
      <w:r w:rsidRPr="00C727D4">
        <w:rPr>
          <w:sz w:val="20"/>
        </w:rPr>
        <w:t xml:space="preserve">Mifepristone and Misoprostol </w:t>
      </w:r>
      <w:r w:rsidR="00DD6FA0">
        <w:rPr>
          <w:sz w:val="20"/>
        </w:rPr>
        <w:t xml:space="preserve">and Misoprostol-only </w:t>
      </w:r>
      <w:r w:rsidR="00947049">
        <w:rPr>
          <w:sz w:val="20"/>
        </w:rPr>
        <w:t xml:space="preserve">protocol </w:t>
      </w:r>
      <w:r w:rsidR="00947049" w:rsidRPr="00947049">
        <w:rPr>
          <w:sz w:val="20"/>
          <w:u w:val="single"/>
        </w:rPr>
        <w:t>&lt;</w:t>
      </w:r>
      <w:r w:rsidRPr="00C727D4">
        <w:rPr>
          <w:sz w:val="20"/>
        </w:rPr>
        <w:t>12 weeks</w:t>
      </w:r>
      <w:r w:rsidR="00C727D4">
        <w:rPr>
          <w:sz w:val="20"/>
        </w:rPr>
        <w:t xml:space="preserve"> + 0 days</w:t>
      </w:r>
      <w:r w:rsidRPr="00C727D4">
        <w:rPr>
          <w:sz w:val="20"/>
        </w:rPr>
        <w:t xml:space="preserve"> gestation</w:t>
      </w:r>
      <w:bookmarkEnd w:id="89"/>
    </w:p>
    <w:tbl>
      <w:tblPr>
        <w:tblStyle w:val="GridTable4-Accent3"/>
        <w:tblW w:w="0" w:type="auto"/>
        <w:tblLook w:val="04A0" w:firstRow="1" w:lastRow="0" w:firstColumn="1" w:lastColumn="0" w:noHBand="0" w:noVBand="1"/>
      </w:tblPr>
      <w:tblGrid>
        <w:gridCol w:w="1498"/>
        <w:gridCol w:w="418"/>
        <w:gridCol w:w="1100"/>
        <w:gridCol w:w="725"/>
        <w:gridCol w:w="1564"/>
        <w:gridCol w:w="2580"/>
        <w:gridCol w:w="1465"/>
      </w:tblGrid>
      <w:tr w:rsidR="007E04D7" w:rsidRPr="001904F0" w14:paraId="4E55A8CD" w14:textId="77777777" w:rsidTr="00773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vMerge w:val="restart"/>
            <w:tcBorders>
              <w:right w:val="dotted" w:sz="4" w:space="0" w:color="A5A5A5" w:themeColor="accent3"/>
            </w:tcBorders>
          </w:tcPr>
          <w:p w14:paraId="7477D306" w14:textId="3FFB2C62" w:rsidR="007E04D7" w:rsidRPr="001904F0" w:rsidRDefault="007E04D7" w:rsidP="007E04D7">
            <w:pPr>
              <w:jc w:val="center"/>
              <w:rPr>
                <w:rFonts w:cstheme="minorHAnsi"/>
                <w:sz w:val="20"/>
                <w:szCs w:val="20"/>
                <w:lang w:val="en-CA"/>
              </w:rPr>
            </w:pPr>
            <w:r w:rsidRPr="001904F0">
              <w:rPr>
                <w:rFonts w:cstheme="minorHAnsi"/>
                <w:bCs w:val="0"/>
                <w:sz w:val="20"/>
                <w:szCs w:val="20"/>
              </w:rPr>
              <w:t>Gestational age</w:t>
            </w:r>
          </w:p>
        </w:tc>
        <w:tc>
          <w:tcPr>
            <w:tcW w:w="1518" w:type="dxa"/>
            <w:gridSpan w:val="2"/>
            <w:tcBorders>
              <w:left w:val="dotted" w:sz="4" w:space="0" w:color="A5A5A5" w:themeColor="accent3"/>
              <w:right w:val="dotted" w:sz="4" w:space="0" w:color="A5A5A5" w:themeColor="accent3"/>
            </w:tcBorders>
          </w:tcPr>
          <w:p w14:paraId="5713503A" w14:textId="77777777" w:rsidR="007E04D7" w:rsidRPr="001904F0" w:rsidRDefault="007E04D7" w:rsidP="007E04D7">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904F0">
              <w:rPr>
                <w:rFonts w:cstheme="minorHAnsi"/>
                <w:bCs w:val="0"/>
                <w:sz w:val="20"/>
                <w:szCs w:val="20"/>
              </w:rPr>
              <w:t>Mifepristone</w:t>
            </w:r>
          </w:p>
          <w:p w14:paraId="33E7799A" w14:textId="1AF99A9D" w:rsidR="007E04D7" w:rsidRPr="001904F0" w:rsidRDefault="007E04D7" w:rsidP="007E04D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bCs w:val="0"/>
                <w:sz w:val="20"/>
                <w:szCs w:val="20"/>
              </w:rPr>
              <w:t>Day 1</w:t>
            </w:r>
          </w:p>
        </w:tc>
        <w:tc>
          <w:tcPr>
            <w:tcW w:w="6334" w:type="dxa"/>
            <w:gridSpan w:val="4"/>
            <w:tcBorders>
              <w:left w:val="dotted" w:sz="4" w:space="0" w:color="A5A5A5" w:themeColor="accent3"/>
            </w:tcBorders>
          </w:tcPr>
          <w:p w14:paraId="64EF607E" w14:textId="4BEE2CFA" w:rsidR="007E04D7" w:rsidRPr="001904F0" w:rsidRDefault="007E04D7" w:rsidP="007E04D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bCs w:val="0"/>
                <w:sz w:val="20"/>
                <w:szCs w:val="20"/>
              </w:rPr>
              <w:t>Misoprostol</w:t>
            </w:r>
          </w:p>
        </w:tc>
      </w:tr>
      <w:tr w:rsidR="007E04D7" w:rsidRPr="001904F0" w14:paraId="404246C0" w14:textId="77777777" w:rsidTr="00D8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vMerge/>
            <w:tcBorders>
              <w:right w:val="dotted" w:sz="4" w:space="0" w:color="A5A5A5" w:themeColor="accent3"/>
            </w:tcBorders>
          </w:tcPr>
          <w:p w14:paraId="473990F2" w14:textId="77777777" w:rsidR="007E04D7" w:rsidRPr="001904F0" w:rsidRDefault="007E04D7" w:rsidP="007E04D7">
            <w:pPr>
              <w:rPr>
                <w:rFonts w:cstheme="minorHAnsi"/>
                <w:sz w:val="20"/>
                <w:szCs w:val="20"/>
                <w:lang w:val="en-CA"/>
              </w:rPr>
            </w:pPr>
          </w:p>
        </w:tc>
        <w:tc>
          <w:tcPr>
            <w:tcW w:w="1518" w:type="dxa"/>
            <w:gridSpan w:val="2"/>
            <w:tcBorders>
              <w:left w:val="dotted" w:sz="4" w:space="0" w:color="A5A5A5" w:themeColor="accent3"/>
            </w:tcBorders>
          </w:tcPr>
          <w:p w14:paraId="067A70E7" w14:textId="1C854926" w:rsidR="007E04D7" w:rsidRPr="001904F0" w:rsidRDefault="007E04D7" w:rsidP="007E04D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eastAsia="Arial" w:cstheme="minorHAnsi"/>
                <w:b/>
                <w:sz w:val="20"/>
                <w:szCs w:val="20"/>
              </w:rPr>
              <w:t>Route</w:t>
            </w:r>
          </w:p>
        </w:tc>
        <w:tc>
          <w:tcPr>
            <w:tcW w:w="725" w:type="dxa"/>
          </w:tcPr>
          <w:p w14:paraId="224A115B" w14:textId="40540076" w:rsidR="007E04D7" w:rsidRPr="001904F0" w:rsidRDefault="007E04D7" w:rsidP="007E04D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eastAsia="Arial" w:cstheme="minorHAnsi"/>
                <w:b/>
                <w:sz w:val="20"/>
                <w:szCs w:val="20"/>
              </w:rPr>
              <w:t>Dose</w:t>
            </w:r>
          </w:p>
        </w:tc>
        <w:tc>
          <w:tcPr>
            <w:tcW w:w="1564" w:type="dxa"/>
          </w:tcPr>
          <w:p w14:paraId="0E8895D2" w14:textId="71A2778C" w:rsidR="007E04D7" w:rsidRPr="001904F0" w:rsidRDefault="007E04D7" w:rsidP="007E04D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eastAsia="Arial" w:cstheme="minorHAnsi"/>
                <w:b/>
                <w:sz w:val="20"/>
                <w:szCs w:val="20"/>
              </w:rPr>
              <w:t>Route</w:t>
            </w:r>
          </w:p>
        </w:tc>
        <w:tc>
          <w:tcPr>
            <w:tcW w:w="2580" w:type="dxa"/>
          </w:tcPr>
          <w:p w14:paraId="28E850E3" w14:textId="00D1170C" w:rsidR="007E04D7" w:rsidRPr="001904F0" w:rsidRDefault="007E04D7" w:rsidP="007E04D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cstheme="minorHAnsi"/>
                <w:b/>
                <w:sz w:val="20"/>
                <w:szCs w:val="20"/>
              </w:rPr>
              <w:t>Timing</w:t>
            </w:r>
          </w:p>
        </w:tc>
        <w:tc>
          <w:tcPr>
            <w:tcW w:w="1465" w:type="dxa"/>
          </w:tcPr>
          <w:p w14:paraId="7373E5C2" w14:textId="706DCB19" w:rsidR="007E04D7" w:rsidRPr="001904F0" w:rsidRDefault="007E04D7" w:rsidP="007E04D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cstheme="minorHAnsi"/>
                <w:b/>
                <w:sz w:val="20"/>
                <w:szCs w:val="20"/>
              </w:rPr>
              <w:t>Duration</w:t>
            </w:r>
          </w:p>
        </w:tc>
      </w:tr>
      <w:tr w:rsidR="007E04D7" w:rsidRPr="001904F0" w14:paraId="4CC7FE66" w14:textId="77777777" w:rsidTr="00D82B96">
        <w:tc>
          <w:tcPr>
            <w:cnfStyle w:val="001000000000" w:firstRow="0" w:lastRow="0" w:firstColumn="1" w:lastColumn="0" w:oddVBand="0" w:evenVBand="0" w:oddHBand="0" w:evenHBand="0" w:firstRowFirstColumn="0" w:firstRowLastColumn="0" w:lastRowFirstColumn="0" w:lastRowLastColumn="0"/>
            <w:tcW w:w="1498" w:type="dxa"/>
          </w:tcPr>
          <w:p w14:paraId="68E0AC5C" w14:textId="497DE1E2" w:rsidR="007E04D7" w:rsidRDefault="00DD6FA0" w:rsidP="007E04D7">
            <w:pPr>
              <w:rPr>
                <w:rFonts w:cstheme="minorHAnsi"/>
                <w:b w:val="0"/>
                <w:bCs w:val="0"/>
                <w:sz w:val="20"/>
                <w:szCs w:val="20"/>
              </w:rPr>
            </w:pPr>
            <w:r w:rsidRPr="00DD6FA0">
              <w:rPr>
                <w:rFonts w:cstheme="minorHAnsi"/>
                <w:b w:val="0"/>
                <w:bCs w:val="0"/>
                <w:sz w:val="20"/>
                <w:szCs w:val="20"/>
              </w:rPr>
              <w:t>Combined regimen:</w:t>
            </w:r>
            <w:r>
              <w:rPr>
                <w:rFonts w:cstheme="minorHAnsi"/>
                <w:b w:val="0"/>
                <w:bCs w:val="0"/>
                <w:sz w:val="20"/>
                <w:szCs w:val="20"/>
                <w:u w:val="single"/>
              </w:rPr>
              <w:t xml:space="preserve"> </w:t>
            </w:r>
            <w:r w:rsidR="002A0D18" w:rsidRPr="002A0D18">
              <w:rPr>
                <w:rFonts w:cstheme="minorHAnsi"/>
                <w:b w:val="0"/>
                <w:bCs w:val="0"/>
                <w:sz w:val="20"/>
                <w:szCs w:val="20"/>
                <w:u w:val="single"/>
              </w:rPr>
              <w:t>&lt;</w:t>
            </w:r>
            <w:r w:rsidR="002A0D18">
              <w:rPr>
                <w:rFonts w:cstheme="minorHAnsi"/>
                <w:b w:val="0"/>
                <w:bCs w:val="0"/>
                <w:sz w:val="20"/>
                <w:szCs w:val="20"/>
              </w:rPr>
              <w:t xml:space="preserve"> </w:t>
            </w:r>
            <w:r w:rsidR="007E04D7" w:rsidRPr="001904F0">
              <w:rPr>
                <w:rFonts w:cstheme="minorHAnsi"/>
                <w:b w:val="0"/>
                <w:bCs w:val="0"/>
                <w:sz w:val="20"/>
                <w:szCs w:val="20"/>
              </w:rPr>
              <w:t xml:space="preserve">12 weeks </w:t>
            </w:r>
            <w:r w:rsidR="00C727D4">
              <w:rPr>
                <w:rFonts w:cstheme="minorHAnsi"/>
                <w:b w:val="0"/>
                <w:bCs w:val="0"/>
                <w:sz w:val="20"/>
                <w:szCs w:val="20"/>
              </w:rPr>
              <w:t>+ 0 days</w:t>
            </w:r>
          </w:p>
          <w:p w14:paraId="49A11695" w14:textId="1FE32A76" w:rsidR="00DD6FA0" w:rsidRPr="001904F0" w:rsidRDefault="00DD6FA0" w:rsidP="007E04D7">
            <w:pPr>
              <w:rPr>
                <w:rFonts w:cstheme="minorHAnsi"/>
                <w:sz w:val="20"/>
                <w:szCs w:val="20"/>
                <w:lang w:val="en-CA"/>
              </w:rPr>
            </w:pPr>
          </w:p>
        </w:tc>
        <w:tc>
          <w:tcPr>
            <w:tcW w:w="1518" w:type="dxa"/>
            <w:gridSpan w:val="2"/>
          </w:tcPr>
          <w:p w14:paraId="348C8B66" w14:textId="77777777" w:rsidR="007E04D7" w:rsidRPr="001904F0" w:rsidRDefault="007E04D7"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4F0">
              <w:rPr>
                <w:rFonts w:cstheme="minorHAnsi"/>
                <w:sz w:val="20"/>
                <w:szCs w:val="20"/>
              </w:rPr>
              <w:t>200mg</w:t>
            </w:r>
          </w:p>
          <w:p w14:paraId="0ECC9349" w14:textId="77777777" w:rsidR="007E04D7" w:rsidRPr="001904F0" w:rsidRDefault="007E04D7"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4F0">
              <w:rPr>
                <w:rFonts w:cstheme="minorHAnsi"/>
                <w:sz w:val="20"/>
                <w:szCs w:val="20"/>
              </w:rPr>
              <w:t>Oral</w:t>
            </w:r>
          </w:p>
          <w:p w14:paraId="43EC1C02" w14:textId="593B1915" w:rsidR="007E04D7" w:rsidRPr="001904F0" w:rsidRDefault="007E04D7"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sz w:val="20"/>
                <w:szCs w:val="20"/>
              </w:rPr>
              <w:t>Single dose</w:t>
            </w:r>
          </w:p>
        </w:tc>
        <w:tc>
          <w:tcPr>
            <w:tcW w:w="725" w:type="dxa"/>
          </w:tcPr>
          <w:p w14:paraId="53FB5650" w14:textId="4B3E11FF" w:rsidR="007E04D7" w:rsidRPr="001904F0" w:rsidRDefault="007E04D7"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sz w:val="20"/>
                <w:szCs w:val="20"/>
              </w:rPr>
              <w:t>800µg</w:t>
            </w:r>
          </w:p>
        </w:tc>
        <w:tc>
          <w:tcPr>
            <w:tcW w:w="1564" w:type="dxa"/>
          </w:tcPr>
          <w:p w14:paraId="27453589" w14:textId="3FA376D7" w:rsidR="007E04D7" w:rsidRPr="001904F0" w:rsidRDefault="007E04D7"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4F0">
              <w:rPr>
                <w:rFonts w:cstheme="minorHAnsi"/>
                <w:sz w:val="20"/>
                <w:szCs w:val="20"/>
              </w:rPr>
              <w:t>Sublingual, Vaginal, or Buccal</w:t>
            </w:r>
          </w:p>
          <w:p w14:paraId="7D12EBAC" w14:textId="77777777" w:rsidR="007E04D7" w:rsidRPr="001904F0" w:rsidRDefault="007E04D7"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C2B0FE1" w14:textId="0D5A4EEB" w:rsidR="007E04D7" w:rsidRPr="001904F0" w:rsidRDefault="007E04D7"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sz w:val="20"/>
                <w:szCs w:val="20"/>
              </w:rPr>
              <w:t xml:space="preserve"> </w:t>
            </w:r>
          </w:p>
        </w:tc>
        <w:tc>
          <w:tcPr>
            <w:tcW w:w="2580" w:type="dxa"/>
          </w:tcPr>
          <w:p w14:paraId="6A5DA6DA" w14:textId="15A1EC5B" w:rsidR="007E04D7" w:rsidRPr="001904F0" w:rsidRDefault="00C727D4"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 days (after taking m</w:t>
            </w:r>
            <w:r w:rsidR="007E04D7" w:rsidRPr="001904F0">
              <w:rPr>
                <w:rFonts w:cstheme="minorHAnsi"/>
                <w:sz w:val="20"/>
                <w:szCs w:val="20"/>
              </w:rPr>
              <w:t>ifepristone</w:t>
            </w:r>
            <w:r>
              <w:rPr>
                <w:rFonts w:cstheme="minorHAnsi"/>
                <w:sz w:val="20"/>
                <w:szCs w:val="20"/>
              </w:rPr>
              <w:t>)</w:t>
            </w:r>
          </w:p>
          <w:p w14:paraId="25D6F5BA" w14:textId="77777777" w:rsidR="007E04D7" w:rsidRPr="001904F0" w:rsidRDefault="007E04D7" w:rsidP="007E04D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0D1C41" w14:textId="23063F00" w:rsidR="007E04D7" w:rsidRPr="00C727D4" w:rsidRDefault="00FE6031" w:rsidP="00C727D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rPr>
            </w:pPr>
            <w:r>
              <w:rPr>
                <w:rFonts w:eastAsia="Times New Roman" w:cstheme="minorHAnsi"/>
                <w:sz w:val="20"/>
                <w:szCs w:val="20"/>
                <w:lang w:val="en-US"/>
              </w:rPr>
              <w:t xml:space="preserve">The minimum recommended interval between mifepristone and misoprostol is at least 24 hours. (Note: There is limited evidence to suggest that simultaneous dosing of mifepristone and misoprostol is efficacious). </w:t>
            </w:r>
          </w:p>
        </w:tc>
        <w:tc>
          <w:tcPr>
            <w:tcW w:w="1465" w:type="dxa"/>
          </w:tcPr>
          <w:p w14:paraId="111D0395" w14:textId="77777777" w:rsidR="004B7C93" w:rsidRPr="001904F0" w:rsidRDefault="004B7C93" w:rsidP="004B7C9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4F0">
              <w:rPr>
                <w:rFonts w:cstheme="minorHAnsi"/>
                <w:sz w:val="20"/>
                <w:szCs w:val="20"/>
              </w:rPr>
              <w:t>Single dose</w:t>
            </w:r>
          </w:p>
          <w:p w14:paraId="5101CAA5" w14:textId="211F2C2B" w:rsidR="007E04D7" w:rsidRPr="001904F0" w:rsidRDefault="004B7C93" w:rsidP="004B7C9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sz w:val="20"/>
                <w:szCs w:val="20"/>
              </w:rPr>
              <w:t>(Repeat doses can be considered when needed to achieve success of the medical TOP)</w:t>
            </w:r>
          </w:p>
        </w:tc>
      </w:tr>
      <w:tr w:rsidR="00DD6FA0" w:rsidRPr="001904F0" w14:paraId="65C0EC23" w14:textId="77777777" w:rsidTr="00B2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328D662E" w14:textId="77777777" w:rsidR="00DD6FA0" w:rsidRDefault="00DD6FA0" w:rsidP="007E04D7">
            <w:pPr>
              <w:rPr>
                <w:rFonts w:cstheme="minorHAnsi"/>
                <w:b w:val="0"/>
                <w:bCs w:val="0"/>
                <w:sz w:val="20"/>
                <w:szCs w:val="20"/>
                <w:u w:val="single"/>
              </w:rPr>
            </w:pPr>
            <w:r w:rsidRPr="00DD6FA0">
              <w:rPr>
                <w:rFonts w:cstheme="minorHAnsi"/>
                <w:b w:val="0"/>
                <w:bCs w:val="0"/>
                <w:sz w:val="20"/>
                <w:szCs w:val="20"/>
              </w:rPr>
              <w:t>Misoprostol only regimen:</w:t>
            </w:r>
            <w:r>
              <w:rPr>
                <w:rFonts w:cstheme="minorHAnsi"/>
                <w:b w:val="0"/>
                <w:bCs w:val="0"/>
                <w:sz w:val="20"/>
                <w:szCs w:val="20"/>
                <w:u w:val="single"/>
              </w:rPr>
              <w:t xml:space="preserve"> </w:t>
            </w:r>
          </w:p>
          <w:p w14:paraId="5240F58D" w14:textId="7F09B5B9" w:rsidR="00DD6FA0" w:rsidRPr="002A0D18" w:rsidRDefault="00DD6FA0" w:rsidP="007E04D7">
            <w:pPr>
              <w:rPr>
                <w:rFonts w:cstheme="minorHAnsi"/>
                <w:sz w:val="20"/>
                <w:szCs w:val="20"/>
                <w:u w:val="single"/>
              </w:rPr>
            </w:pPr>
            <w:r w:rsidRPr="002A0D18">
              <w:rPr>
                <w:rFonts w:cstheme="minorHAnsi"/>
                <w:b w:val="0"/>
                <w:bCs w:val="0"/>
                <w:sz w:val="20"/>
                <w:szCs w:val="20"/>
                <w:u w:val="single"/>
              </w:rPr>
              <w:t>&lt;</w:t>
            </w:r>
            <w:r>
              <w:rPr>
                <w:rFonts w:cstheme="minorHAnsi"/>
                <w:b w:val="0"/>
                <w:bCs w:val="0"/>
                <w:sz w:val="20"/>
                <w:szCs w:val="20"/>
              </w:rPr>
              <w:t xml:space="preserve"> </w:t>
            </w:r>
            <w:r w:rsidRPr="001904F0">
              <w:rPr>
                <w:rFonts w:cstheme="minorHAnsi"/>
                <w:b w:val="0"/>
                <w:bCs w:val="0"/>
                <w:sz w:val="20"/>
                <w:szCs w:val="20"/>
              </w:rPr>
              <w:t xml:space="preserve">12 weeks </w:t>
            </w:r>
            <w:r>
              <w:rPr>
                <w:rFonts w:cstheme="minorHAnsi"/>
                <w:b w:val="0"/>
                <w:bCs w:val="0"/>
                <w:sz w:val="20"/>
                <w:szCs w:val="20"/>
              </w:rPr>
              <w:t>+ 0 days</w:t>
            </w:r>
          </w:p>
        </w:tc>
        <w:tc>
          <w:tcPr>
            <w:tcW w:w="1518" w:type="dxa"/>
            <w:gridSpan w:val="2"/>
            <w:vAlign w:val="center"/>
          </w:tcPr>
          <w:p w14:paraId="21190E1F" w14:textId="020FD2E4" w:rsidR="00DD6FA0" w:rsidRPr="001904F0" w:rsidRDefault="00DD6FA0" w:rsidP="00B2233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6334" w:type="dxa"/>
            <w:gridSpan w:val="4"/>
            <w:vAlign w:val="center"/>
          </w:tcPr>
          <w:p w14:paraId="7A8F47C3" w14:textId="0D5F5FB6" w:rsidR="00DD6FA0" w:rsidRPr="001904F0" w:rsidRDefault="00DD6FA0" w:rsidP="00B2233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Same as outlined above.</w:t>
            </w:r>
          </w:p>
        </w:tc>
      </w:tr>
      <w:tr w:rsidR="001904F0" w:rsidRPr="001904F0" w14:paraId="3B0C0200" w14:textId="77777777" w:rsidTr="00773250">
        <w:tc>
          <w:tcPr>
            <w:cnfStyle w:val="001000000000" w:firstRow="0" w:lastRow="0" w:firstColumn="1" w:lastColumn="0" w:oddVBand="0" w:evenVBand="0" w:oddHBand="0" w:evenHBand="0" w:firstRowFirstColumn="0" w:firstRowLastColumn="0" w:lastRowFirstColumn="0" w:lastRowLastColumn="0"/>
            <w:tcW w:w="9350" w:type="dxa"/>
            <w:gridSpan w:val="7"/>
            <w:shd w:val="clear" w:color="auto" w:fill="A5A5A5" w:themeFill="accent3"/>
            <w:vAlign w:val="center"/>
          </w:tcPr>
          <w:p w14:paraId="0E3FA790" w14:textId="65FC26D8" w:rsidR="001904F0" w:rsidRPr="001904F0" w:rsidRDefault="001904F0" w:rsidP="001904F0">
            <w:pPr>
              <w:rPr>
                <w:rFonts w:cstheme="minorHAnsi"/>
                <w:sz w:val="20"/>
                <w:szCs w:val="20"/>
                <w:lang w:val="en-CA"/>
              </w:rPr>
            </w:pPr>
          </w:p>
        </w:tc>
      </w:tr>
      <w:tr w:rsidR="00773250" w:rsidRPr="001904F0" w14:paraId="4585658D" w14:textId="77777777" w:rsidTr="00773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gridSpan w:val="2"/>
          </w:tcPr>
          <w:p w14:paraId="3AF6E3A0" w14:textId="27AECCE6" w:rsidR="00773250" w:rsidRPr="001904F0" w:rsidRDefault="00773250" w:rsidP="00773250">
            <w:pPr>
              <w:rPr>
                <w:rFonts w:cstheme="minorHAnsi"/>
                <w:b w:val="0"/>
                <w:bCs w:val="0"/>
                <w:sz w:val="20"/>
                <w:szCs w:val="20"/>
              </w:rPr>
            </w:pPr>
            <w:r w:rsidRPr="001904F0">
              <w:rPr>
                <w:rFonts w:cstheme="minorHAnsi"/>
                <w:sz w:val="20"/>
                <w:szCs w:val="20"/>
              </w:rPr>
              <w:t xml:space="preserve">Administer the medication to initiate medical </w:t>
            </w:r>
            <w:r w:rsidR="004E7D61">
              <w:rPr>
                <w:rFonts w:cstheme="minorHAnsi"/>
                <w:sz w:val="20"/>
                <w:szCs w:val="20"/>
              </w:rPr>
              <w:t>TOP</w:t>
            </w:r>
          </w:p>
        </w:tc>
        <w:tc>
          <w:tcPr>
            <w:tcW w:w="7434" w:type="dxa"/>
            <w:gridSpan w:val="5"/>
            <w:vAlign w:val="center"/>
          </w:tcPr>
          <w:p w14:paraId="5F050690" w14:textId="7DB71163" w:rsidR="00773250" w:rsidRPr="00773250" w:rsidRDefault="00773250" w:rsidP="008D431E">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sidRPr="00773250">
              <w:rPr>
                <w:bCs/>
                <w:sz w:val="20"/>
                <w:szCs w:val="20"/>
              </w:rPr>
              <w:t>Mifepriston</w:t>
            </w:r>
            <w:r w:rsidR="00A83399">
              <w:rPr>
                <w:bCs/>
                <w:sz w:val="20"/>
                <w:szCs w:val="20"/>
              </w:rPr>
              <w:t>e is always administered orally.</w:t>
            </w:r>
          </w:p>
          <w:p w14:paraId="4E8B893C" w14:textId="32130318" w:rsidR="00773250" w:rsidRPr="00773250" w:rsidRDefault="00773250" w:rsidP="008D431E">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sidRPr="00773250">
              <w:rPr>
                <w:bCs/>
                <w:sz w:val="20"/>
                <w:szCs w:val="20"/>
              </w:rPr>
              <w:t xml:space="preserve">Misoprostol can be administered by different routes </w:t>
            </w:r>
            <w:r w:rsidR="00D76A18" w:rsidRPr="00A61756">
              <w:rPr>
                <w:rFonts w:eastAsia="Times New Roman" w:cs="Times New Roman"/>
                <w:sz w:val="20"/>
                <w:lang w:val="en-US"/>
              </w:rPr>
              <w:t>including</w:t>
            </w:r>
            <w:r w:rsidR="00FE6031">
              <w:rPr>
                <w:rFonts w:eastAsia="Times New Roman" w:cs="Times New Roman"/>
                <w:sz w:val="20"/>
                <w:lang w:val="en-US"/>
              </w:rPr>
              <w:t>:</w:t>
            </w:r>
            <w:r w:rsidR="00D76A18" w:rsidRPr="00A61756">
              <w:rPr>
                <w:rFonts w:eastAsia="Times New Roman" w:cs="Times New Roman"/>
                <w:sz w:val="20"/>
                <w:lang w:val="en-US"/>
              </w:rPr>
              <w:t xml:space="preserve"> oral, vaginal, buccal and sublingual. </w:t>
            </w:r>
            <w:r w:rsidR="00D76A18" w:rsidRPr="00A61756">
              <w:rPr>
                <w:rFonts w:eastAsia="Times New Roman" w:cs="Calibri"/>
                <w:sz w:val="20"/>
                <w:lang w:val="en-US"/>
              </w:rPr>
              <w:t xml:space="preserve">Evidence suggests that </w:t>
            </w:r>
            <w:r w:rsidR="00D76A18">
              <w:rPr>
                <w:rFonts w:eastAsia="Times New Roman" w:cs="Calibri"/>
                <w:sz w:val="20"/>
                <w:lang w:val="en-US"/>
              </w:rPr>
              <w:t xml:space="preserve">the </w:t>
            </w:r>
            <w:r w:rsidR="00D76A18" w:rsidRPr="00A61756">
              <w:rPr>
                <w:rFonts w:eastAsia="Times New Roman" w:cs="Calibri"/>
                <w:sz w:val="20"/>
                <w:lang w:val="en-US"/>
              </w:rPr>
              <w:t>vaginal route is the most effective</w:t>
            </w:r>
            <w:r w:rsidR="00D76A18">
              <w:rPr>
                <w:rFonts w:eastAsia="Times New Roman" w:cs="Calibri"/>
                <w:sz w:val="20"/>
                <w:lang w:val="en-US"/>
              </w:rPr>
              <w:t>.</w:t>
            </w:r>
            <w:r w:rsidR="00D76A18" w:rsidRPr="00773250">
              <w:rPr>
                <w:bCs/>
                <w:sz w:val="20"/>
                <w:szCs w:val="20"/>
              </w:rPr>
              <w:t xml:space="preserve"> </w:t>
            </w:r>
            <w:r w:rsidRPr="00773250">
              <w:rPr>
                <w:bCs/>
                <w:sz w:val="20"/>
                <w:szCs w:val="20"/>
              </w:rPr>
              <w:t>Consideration to p</w:t>
            </w:r>
            <w:r w:rsidR="00FE6031">
              <w:rPr>
                <w:bCs/>
                <w:sz w:val="20"/>
                <w:szCs w:val="20"/>
              </w:rPr>
              <w:t xml:space="preserve">atient and provider preference </w:t>
            </w:r>
            <w:r w:rsidRPr="00773250">
              <w:rPr>
                <w:bCs/>
                <w:sz w:val="20"/>
                <w:szCs w:val="20"/>
              </w:rPr>
              <w:t>suggests the inclusion of all routes, including buccal administration</w:t>
            </w:r>
            <w:r w:rsidRPr="00773250">
              <w:rPr>
                <w:sz w:val="20"/>
                <w:szCs w:val="20"/>
              </w:rPr>
              <w:t>.</w:t>
            </w:r>
            <w:r w:rsidRPr="00773250">
              <w:rPr>
                <w:bCs/>
                <w:sz w:val="20"/>
                <w:szCs w:val="20"/>
              </w:rPr>
              <w:t xml:space="preserve"> </w:t>
            </w:r>
          </w:p>
          <w:p w14:paraId="46F34776" w14:textId="77777777" w:rsidR="00773250" w:rsidRPr="001606CD" w:rsidRDefault="00773250" w:rsidP="008D431E">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sidRPr="00773250">
              <w:rPr>
                <w:bCs/>
                <w:sz w:val="20"/>
                <w:szCs w:val="20"/>
              </w:rPr>
              <w:t xml:space="preserve">Antibiotic prophylaxis is not necessary for medical </w:t>
            </w:r>
            <w:r w:rsidRPr="00773250">
              <w:rPr>
                <w:sz w:val="20"/>
                <w:szCs w:val="20"/>
              </w:rPr>
              <w:t>TOP</w:t>
            </w:r>
          </w:p>
          <w:p w14:paraId="65493BBB" w14:textId="7C1D0EED" w:rsidR="001606CD" w:rsidRPr="00773250" w:rsidRDefault="001606CD" w:rsidP="008D431E">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Pr>
                <w:sz w:val="20"/>
                <w:szCs w:val="20"/>
              </w:rPr>
              <w:t xml:space="preserve">Health care professionals should use caution and clinical judgement to decide the maximum number of doses of misoprostol in pregnant individuals with prior uterine incision. Uterine rupture is a rare complication; preparedness for emergency management of uterine rupture must be considered with advanced gestational age. </w:t>
            </w:r>
          </w:p>
        </w:tc>
      </w:tr>
      <w:tr w:rsidR="00773250" w:rsidRPr="001904F0" w14:paraId="21EC93AC" w14:textId="77777777" w:rsidTr="00773250">
        <w:tc>
          <w:tcPr>
            <w:cnfStyle w:val="001000000000" w:firstRow="0" w:lastRow="0" w:firstColumn="1" w:lastColumn="0" w:oddVBand="0" w:evenVBand="0" w:oddHBand="0" w:evenHBand="0" w:firstRowFirstColumn="0" w:firstRowLastColumn="0" w:lastRowFirstColumn="0" w:lastRowLastColumn="0"/>
            <w:tcW w:w="1916" w:type="dxa"/>
            <w:gridSpan w:val="2"/>
          </w:tcPr>
          <w:p w14:paraId="489EE35E" w14:textId="464B9DFB" w:rsidR="00773250" w:rsidRPr="001904F0" w:rsidRDefault="00773250" w:rsidP="00773250">
            <w:pPr>
              <w:rPr>
                <w:rFonts w:cstheme="minorHAnsi"/>
                <w:sz w:val="20"/>
                <w:szCs w:val="20"/>
              </w:rPr>
            </w:pPr>
            <w:r w:rsidRPr="00773250">
              <w:rPr>
                <w:rFonts w:cstheme="minorHAnsi"/>
                <w:sz w:val="20"/>
                <w:szCs w:val="20"/>
              </w:rPr>
              <w:t>Offer supportive care prior to and during pregnancy expulsion</w:t>
            </w:r>
          </w:p>
        </w:tc>
        <w:tc>
          <w:tcPr>
            <w:tcW w:w="7434" w:type="dxa"/>
            <w:gridSpan w:val="5"/>
            <w:vAlign w:val="center"/>
          </w:tcPr>
          <w:p w14:paraId="296E7BA1" w14:textId="6F57D6C8" w:rsidR="00773250" w:rsidRPr="00773250" w:rsidRDefault="00773250" w:rsidP="00773250">
            <w:pPr>
              <w:cnfStyle w:val="000000000000" w:firstRow="0" w:lastRow="0" w:firstColumn="0" w:lastColumn="0" w:oddVBand="0" w:evenVBand="0" w:oddHBand="0" w:evenHBand="0" w:firstRowFirstColumn="0" w:firstRowLastColumn="0" w:lastRowFirstColumn="0" w:lastRowLastColumn="0"/>
              <w:rPr>
                <w:bCs/>
                <w:sz w:val="20"/>
                <w:szCs w:val="20"/>
              </w:rPr>
            </w:pPr>
            <w:r w:rsidRPr="00773250">
              <w:rPr>
                <w:bCs/>
                <w:sz w:val="20"/>
                <w:szCs w:val="20"/>
              </w:rPr>
              <w:t xml:space="preserve">It is essential that the </w:t>
            </w:r>
            <w:r w:rsidR="00FE6031">
              <w:rPr>
                <w:bCs/>
                <w:sz w:val="20"/>
                <w:szCs w:val="20"/>
              </w:rPr>
              <w:t>individual</w:t>
            </w:r>
            <w:r w:rsidRPr="00773250">
              <w:rPr>
                <w:bCs/>
                <w:sz w:val="20"/>
                <w:szCs w:val="20"/>
              </w:rPr>
              <w:t xml:space="preserve"> knows to seek medical attention for: </w:t>
            </w:r>
          </w:p>
          <w:p w14:paraId="0E899F97" w14:textId="57B01EC0" w:rsidR="00773250" w:rsidRPr="00773250" w:rsidRDefault="00FE6031" w:rsidP="008D431E">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773250" w:rsidRPr="00773250">
              <w:rPr>
                <w:sz w:val="20"/>
                <w:szCs w:val="20"/>
              </w:rPr>
              <w:t>rolonged or heavy bleeding (soaking more than two large pads per hour for two consecutive hours)</w:t>
            </w:r>
          </w:p>
          <w:p w14:paraId="4B42E737" w14:textId="2D9366BF" w:rsidR="00773250" w:rsidRPr="00773250" w:rsidRDefault="00FE6031" w:rsidP="008D431E">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w:t>
            </w:r>
            <w:r w:rsidR="00773250" w:rsidRPr="00773250">
              <w:rPr>
                <w:sz w:val="20"/>
                <w:szCs w:val="20"/>
              </w:rPr>
              <w:t>ever lasting more than 24 hours</w:t>
            </w:r>
            <w:r w:rsidR="0075258D">
              <w:rPr>
                <w:sz w:val="20"/>
                <w:szCs w:val="20"/>
              </w:rPr>
              <w:t xml:space="preserve"> after using misoprostol </w:t>
            </w:r>
          </w:p>
          <w:p w14:paraId="12856125" w14:textId="38C15787" w:rsidR="00773250" w:rsidRPr="00773250" w:rsidRDefault="00FE6031" w:rsidP="008D431E">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F</w:t>
            </w:r>
            <w:r w:rsidR="00773250" w:rsidRPr="00773250">
              <w:rPr>
                <w:sz w:val="20"/>
                <w:szCs w:val="20"/>
              </w:rPr>
              <w:t>eeling generally unwell more than 24 hours after misoprostol administration</w:t>
            </w:r>
          </w:p>
        </w:tc>
      </w:tr>
      <w:tr w:rsidR="00773250" w:rsidRPr="001904F0" w14:paraId="61F80693" w14:textId="77777777" w:rsidTr="00773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gridSpan w:val="2"/>
          </w:tcPr>
          <w:p w14:paraId="011448E0" w14:textId="73A97071" w:rsidR="00773250" w:rsidRPr="001904F0" w:rsidRDefault="00773250" w:rsidP="00773250">
            <w:pPr>
              <w:rPr>
                <w:rFonts w:cstheme="minorHAnsi"/>
                <w:sz w:val="20"/>
                <w:szCs w:val="20"/>
              </w:rPr>
            </w:pPr>
            <w:r w:rsidRPr="00773250">
              <w:rPr>
                <w:rFonts w:cstheme="minorHAnsi"/>
                <w:sz w:val="20"/>
                <w:szCs w:val="20"/>
              </w:rPr>
              <w:lastRenderedPageBreak/>
              <w:t>Follow-up care</w:t>
            </w:r>
          </w:p>
        </w:tc>
        <w:tc>
          <w:tcPr>
            <w:tcW w:w="7434" w:type="dxa"/>
            <w:gridSpan w:val="5"/>
            <w:vAlign w:val="center"/>
          </w:tcPr>
          <w:p w14:paraId="663D2E20" w14:textId="5F49A27A" w:rsidR="00773250" w:rsidRPr="00FE6031" w:rsidRDefault="00FE6031" w:rsidP="008D431E">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w:t>
            </w:r>
            <w:r w:rsidR="00773250" w:rsidRPr="00773250">
              <w:rPr>
                <w:sz w:val="20"/>
                <w:szCs w:val="20"/>
              </w:rPr>
              <w:t>routine follow-up</w:t>
            </w:r>
            <w:r>
              <w:rPr>
                <w:sz w:val="20"/>
                <w:szCs w:val="20"/>
              </w:rPr>
              <w:t xml:space="preserve"> visit should be encouraged</w:t>
            </w:r>
            <w:r w:rsidR="00773250" w:rsidRPr="00773250">
              <w:rPr>
                <w:sz w:val="20"/>
                <w:szCs w:val="20"/>
              </w:rPr>
              <w:t xml:space="preserve">, </w:t>
            </w:r>
            <w:r w:rsidR="0075258D">
              <w:rPr>
                <w:sz w:val="20"/>
                <w:szCs w:val="20"/>
              </w:rPr>
              <w:t xml:space="preserve">especially if a misoprostol-only regimen was used as it has lower success rates, </w:t>
            </w:r>
            <w:r w:rsidR="00773250" w:rsidRPr="00773250">
              <w:rPr>
                <w:sz w:val="20"/>
                <w:szCs w:val="20"/>
              </w:rPr>
              <w:t xml:space="preserve">although it </w:t>
            </w:r>
            <w:r>
              <w:rPr>
                <w:sz w:val="20"/>
                <w:szCs w:val="20"/>
              </w:rPr>
              <w:t xml:space="preserve">is not </w:t>
            </w:r>
            <w:r w:rsidR="003811D5">
              <w:rPr>
                <w:sz w:val="20"/>
                <w:szCs w:val="20"/>
              </w:rPr>
              <w:t>necessary</w:t>
            </w:r>
            <w:r>
              <w:rPr>
                <w:sz w:val="20"/>
                <w:szCs w:val="20"/>
              </w:rPr>
              <w:t xml:space="preserve"> for medical reasons. </w:t>
            </w:r>
            <w:r w:rsidR="00773250" w:rsidRPr="00FE6031">
              <w:rPr>
                <w:sz w:val="20"/>
                <w:szCs w:val="20"/>
              </w:rPr>
              <w:t xml:space="preserve">If a follow-up visit is scheduled, it should be between 7 and 14 days. </w:t>
            </w:r>
          </w:p>
          <w:p w14:paraId="023C64EA" w14:textId="0B186D91" w:rsidR="00773250" w:rsidRPr="00773250" w:rsidRDefault="00773250" w:rsidP="008D431E">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3250">
              <w:rPr>
                <w:sz w:val="20"/>
                <w:szCs w:val="20"/>
              </w:rPr>
              <w:t>Assess for complete TOP: The use of clinical signs and symptoms with bimanual examination</w:t>
            </w:r>
            <w:r w:rsidR="0075258D">
              <w:rPr>
                <w:sz w:val="20"/>
                <w:szCs w:val="20"/>
              </w:rPr>
              <w:t xml:space="preserve"> is typically adequate to determine if the TOP has been successful. H</w:t>
            </w:r>
            <w:r w:rsidRPr="00773250">
              <w:rPr>
                <w:sz w:val="20"/>
                <w:szCs w:val="20"/>
              </w:rPr>
              <w:t>uman chorionic gonadotrophin</w:t>
            </w:r>
            <w:r w:rsidRPr="00773250">
              <w:rPr>
                <w:rFonts w:cstheme="minorHAnsi"/>
                <w:sz w:val="20"/>
                <w:szCs w:val="20"/>
                <w:lang w:val="en-CA"/>
              </w:rPr>
              <w:t xml:space="preserve"> (hCG) levels or ultrasonography (if available) can </w:t>
            </w:r>
            <w:r w:rsidR="0075258D">
              <w:rPr>
                <w:rFonts w:cstheme="minorHAnsi"/>
                <w:sz w:val="20"/>
                <w:szCs w:val="20"/>
                <w:lang w:val="en-CA"/>
              </w:rPr>
              <w:t xml:space="preserve">be used to </w:t>
            </w:r>
            <w:r w:rsidRPr="00773250">
              <w:rPr>
                <w:rFonts w:cstheme="minorHAnsi"/>
                <w:sz w:val="20"/>
                <w:szCs w:val="20"/>
                <w:lang w:val="en-CA"/>
              </w:rPr>
              <w:t xml:space="preserve">confirm </w:t>
            </w:r>
            <w:r w:rsidR="00E860A3">
              <w:rPr>
                <w:rFonts w:cstheme="minorHAnsi"/>
                <w:sz w:val="20"/>
                <w:szCs w:val="20"/>
                <w:lang w:val="en-CA"/>
              </w:rPr>
              <w:t>TOP</w:t>
            </w:r>
            <w:r w:rsidRPr="00773250">
              <w:rPr>
                <w:rFonts w:cstheme="minorHAnsi"/>
                <w:sz w:val="20"/>
                <w:szCs w:val="20"/>
                <w:lang w:val="en-CA"/>
              </w:rPr>
              <w:t xml:space="preserve"> </w:t>
            </w:r>
            <w:r w:rsidR="0075258D">
              <w:rPr>
                <w:rFonts w:cstheme="minorHAnsi"/>
                <w:sz w:val="20"/>
                <w:szCs w:val="20"/>
                <w:lang w:val="en-CA"/>
              </w:rPr>
              <w:t xml:space="preserve">success if there is doubt. </w:t>
            </w:r>
            <w:r w:rsidRPr="00773250">
              <w:rPr>
                <w:rFonts w:cstheme="minorHAnsi"/>
                <w:sz w:val="20"/>
                <w:szCs w:val="20"/>
                <w:lang w:val="en-CA"/>
              </w:rPr>
              <w:t xml:space="preserve"> </w:t>
            </w:r>
          </w:p>
        </w:tc>
      </w:tr>
      <w:tr w:rsidR="00773250" w:rsidRPr="001904F0" w14:paraId="2798678B" w14:textId="77777777" w:rsidTr="00E860A3">
        <w:tc>
          <w:tcPr>
            <w:cnfStyle w:val="001000000000" w:firstRow="0" w:lastRow="0" w:firstColumn="1" w:lastColumn="0" w:oddVBand="0" w:evenVBand="0" w:oddHBand="0" w:evenHBand="0" w:firstRowFirstColumn="0" w:firstRowLastColumn="0" w:lastRowFirstColumn="0" w:lastRowLastColumn="0"/>
            <w:tcW w:w="1916" w:type="dxa"/>
            <w:gridSpan w:val="2"/>
          </w:tcPr>
          <w:p w14:paraId="5A14CB39" w14:textId="5348DF96" w:rsidR="00773250" w:rsidRPr="004E7D61" w:rsidRDefault="00773250" w:rsidP="00773250">
            <w:pPr>
              <w:rPr>
                <w:rFonts w:cstheme="minorHAnsi"/>
                <w:sz w:val="20"/>
                <w:szCs w:val="20"/>
              </w:rPr>
            </w:pPr>
            <w:r w:rsidRPr="004E7D61">
              <w:rPr>
                <w:rFonts w:cstheme="minorHAnsi"/>
                <w:sz w:val="20"/>
                <w:szCs w:val="20"/>
              </w:rPr>
              <w:t xml:space="preserve">Further evaluation for completed TOP </w:t>
            </w:r>
          </w:p>
        </w:tc>
        <w:tc>
          <w:tcPr>
            <w:tcW w:w="7434" w:type="dxa"/>
            <w:gridSpan w:val="5"/>
          </w:tcPr>
          <w:p w14:paraId="0223A0B3" w14:textId="567B52D2" w:rsidR="00773250" w:rsidRPr="00773250" w:rsidRDefault="00FE6031" w:rsidP="008D431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an individual</w:t>
            </w:r>
            <w:r w:rsidR="00773250" w:rsidRPr="00773250">
              <w:rPr>
                <w:sz w:val="20"/>
                <w:szCs w:val="20"/>
              </w:rPr>
              <w:t xml:space="preserve"> reports ongoing symptoms of pregnancy and/or has only minimal bleeding after taking the </w:t>
            </w:r>
            <w:r w:rsidR="00E860A3">
              <w:rPr>
                <w:sz w:val="20"/>
                <w:szCs w:val="20"/>
              </w:rPr>
              <w:t>TOP</w:t>
            </w:r>
            <w:r w:rsidR="00773250" w:rsidRPr="00773250">
              <w:rPr>
                <w:sz w:val="20"/>
                <w:szCs w:val="20"/>
              </w:rPr>
              <w:t xml:space="preserve"> medications as directed: </w:t>
            </w:r>
          </w:p>
          <w:p w14:paraId="2BD89D5D" w14:textId="0C6F583F" w:rsidR="00773250" w:rsidRPr="00773250" w:rsidRDefault="00773250" w:rsidP="008D431E">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sz w:val="20"/>
                <w:szCs w:val="20"/>
              </w:rPr>
            </w:pPr>
            <w:r w:rsidRPr="00773250">
              <w:rPr>
                <w:sz w:val="20"/>
                <w:szCs w:val="20"/>
              </w:rPr>
              <w:t xml:space="preserve">Ongoing pregnancy should be </w:t>
            </w:r>
            <w:r w:rsidR="00FE6031">
              <w:rPr>
                <w:sz w:val="20"/>
                <w:szCs w:val="20"/>
              </w:rPr>
              <w:t xml:space="preserve">suspected; </w:t>
            </w:r>
            <w:r w:rsidRPr="00773250">
              <w:rPr>
                <w:sz w:val="20"/>
                <w:szCs w:val="20"/>
              </w:rPr>
              <w:t>further evaluation could include pelvic examination, demonstrating a growing uterus, or an ultrasound scan, demonstrating an ongoing pregnancy</w:t>
            </w:r>
          </w:p>
          <w:p w14:paraId="3019C451" w14:textId="0A38EDF9" w:rsidR="00773250" w:rsidRPr="00773250" w:rsidRDefault="00773250" w:rsidP="008D431E">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sz w:val="20"/>
                <w:szCs w:val="20"/>
              </w:rPr>
            </w:pPr>
            <w:r w:rsidRPr="00773250">
              <w:rPr>
                <w:sz w:val="20"/>
                <w:szCs w:val="20"/>
              </w:rPr>
              <w:t>Offer vacuum aspiration or repeat administratio</w:t>
            </w:r>
            <w:r w:rsidR="00FE6031">
              <w:rPr>
                <w:sz w:val="20"/>
                <w:szCs w:val="20"/>
              </w:rPr>
              <w:t>n of misoprostol to complete their</w:t>
            </w:r>
            <w:r w:rsidRPr="00773250">
              <w:rPr>
                <w:sz w:val="20"/>
                <w:szCs w:val="20"/>
              </w:rPr>
              <w:t xml:space="preserve"> </w:t>
            </w:r>
            <w:r w:rsidR="00E860A3">
              <w:rPr>
                <w:sz w:val="20"/>
                <w:szCs w:val="20"/>
              </w:rPr>
              <w:t>TOP</w:t>
            </w:r>
            <w:r w:rsidR="001F2C34">
              <w:rPr>
                <w:sz w:val="20"/>
                <w:szCs w:val="20"/>
              </w:rPr>
              <w:t xml:space="preserve">. Client should be advised that in the case of an ongoing pregnancy, a repeat dose of misoprostol is only approximately 30% effective and vacuum aspiration will likely be necessary. </w:t>
            </w:r>
          </w:p>
          <w:p w14:paraId="1FBDFEC2" w14:textId="48D89AF9" w:rsidR="00773250" w:rsidRPr="00773250" w:rsidRDefault="004747ED" w:rsidP="008D431E">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a</w:t>
            </w:r>
            <w:r w:rsidR="00FE6031">
              <w:rPr>
                <w:rFonts w:cstheme="minorHAnsi"/>
                <w:sz w:val="20"/>
                <w:szCs w:val="20"/>
              </w:rPr>
              <w:t>n individual</w:t>
            </w:r>
            <w:r w:rsidR="00773250" w:rsidRPr="00773250">
              <w:rPr>
                <w:rFonts w:cstheme="minorHAnsi"/>
                <w:sz w:val="20"/>
                <w:szCs w:val="20"/>
              </w:rPr>
              <w:t xml:space="preserve"> reports prolonged or excessive bleeding and cramping and ongoing intrauterine pregnancy (see above) is not suspected: </w:t>
            </w:r>
          </w:p>
          <w:p w14:paraId="56E30CB3" w14:textId="141B8154" w:rsidR="00773250" w:rsidRPr="00773250" w:rsidRDefault="00773250" w:rsidP="008D431E">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sz w:val="20"/>
                <w:szCs w:val="20"/>
              </w:rPr>
            </w:pPr>
            <w:r w:rsidRPr="00773250">
              <w:rPr>
                <w:sz w:val="20"/>
                <w:szCs w:val="20"/>
              </w:rPr>
              <w:t>Consider a diagnosis of ectopic pregnancy and manage appropriately</w:t>
            </w:r>
          </w:p>
          <w:p w14:paraId="5F6B2005" w14:textId="341530FB" w:rsidR="00773250" w:rsidRPr="00773250" w:rsidRDefault="00773250" w:rsidP="008D431E">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3250">
              <w:rPr>
                <w:sz w:val="20"/>
                <w:szCs w:val="20"/>
              </w:rPr>
              <w:t>Offer</w:t>
            </w:r>
            <w:r w:rsidRPr="00773250">
              <w:rPr>
                <w:rFonts w:cstheme="minorHAnsi"/>
                <w:sz w:val="20"/>
                <w:szCs w:val="20"/>
              </w:rPr>
              <w:t xml:space="preserve"> repeat misoprostol or vacuum aspiration to complete the </w:t>
            </w:r>
            <w:r w:rsidR="00E860A3">
              <w:rPr>
                <w:rFonts w:cstheme="minorHAnsi"/>
                <w:sz w:val="20"/>
                <w:szCs w:val="20"/>
              </w:rPr>
              <w:t>TOP</w:t>
            </w:r>
          </w:p>
          <w:p w14:paraId="28F6A499" w14:textId="37404FB3" w:rsidR="00773250" w:rsidRPr="00773250" w:rsidRDefault="004747ED" w:rsidP="008D431E">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a</w:t>
            </w:r>
            <w:r w:rsidR="00FE6031">
              <w:rPr>
                <w:rFonts w:cstheme="minorHAnsi"/>
                <w:sz w:val="20"/>
                <w:szCs w:val="20"/>
              </w:rPr>
              <w:t>n individual</w:t>
            </w:r>
            <w:r w:rsidR="00773250" w:rsidRPr="00773250">
              <w:rPr>
                <w:rFonts w:cstheme="minorHAnsi"/>
                <w:sz w:val="20"/>
                <w:szCs w:val="20"/>
              </w:rPr>
              <w:t xml:space="preserve"> reports lighter than expected bleeding or no bleeding and ongoing intrauterine pregnancy is not suspected: </w:t>
            </w:r>
          </w:p>
          <w:p w14:paraId="6AC52139" w14:textId="54E6DC53" w:rsidR="00773250" w:rsidRPr="00773250" w:rsidRDefault="00773250" w:rsidP="008D431E">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sz w:val="20"/>
                <w:szCs w:val="20"/>
              </w:rPr>
            </w:pPr>
            <w:r w:rsidRPr="00773250">
              <w:rPr>
                <w:sz w:val="20"/>
                <w:szCs w:val="20"/>
              </w:rPr>
              <w:t>Consider a diagnosis of ectopic pregnancy and manage appropriately</w:t>
            </w:r>
          </w:p>
        </w:tc>
      </w:tr>
    </w:tbl>
    <w:p w14:paraId="25BC2CEE" w14:textId="54B34CE0" w:rsidR="007E04D7" w:rsidRDefault="007E04D7" w:rsidP="007E04D7">
      <w:pPr>
        <w:rPr>
          <w:lang w:val="en-CA"/>
        </w:rPr>
      </w:pPr>
    </w:p>
    <w:p w14:paraId="44DB85BB" w14:textId="58FABA38" w:rsidR="00D76A18" w:rsidRPr="00D76A18" w:rsidRDefault="00D76A18" w:rsidP="00D76A18">
      <w:pPr>
        <w:rPr>
          <w:b/>
        </w:rPr>
      </w:pPr>
      <w:bookmarkStart w:id="90" w:name="_Toc525688608"/>
      <w:r w:rsidRPr="00D76A18">
        <w:rPr>
          <w:b/>
        </w:rPr>
        <w:t xml:space="preserve">Second Trimester </w:t>
      </w:r>
      <w:r w:rsidR="00D455C3" w:rsidRPr="00D455C3">
        <w:rPr>
          <w:b/>
          <w:szCs w:val="22"/>
        </w:rPr>
        <w:t>(</w:t>
      </w:r>
      <w:r w:rsidR="00D455C3" w:rsidRPr="00D455C3">
        <w:rPr>
          <w:rFonts w:cstheme="minorHAnsi"/>
          <w:b/>
          <w:bCs/>
          <w:szCs w:val="22"/>
          <w:u w:val="single"/>
        </w:rPr>
        <w:t xml:space="preserve">&gt; </w:t>
      </w:r>
      <w:r w:rsidR="00D455C3" w:rsidRPr="00D455C3">
        <w:rPr>
          <w:rFonts w:cstheme="minorHAnsi"/>
          <w:b/>
          <w:bCs/>
          <w:szCs w:val="22"/>
        </w:rPr>
        <w:t>12 weeks + 1 day</w:t>
      </w:r>
      <w:r w:rsidRPr="00D455C3">
        <w:rPr>
          <w:b/>
          <w:szCs w:val="22"/>
        </w:rPr>
        <w:t>)</w:t>
      </w:r>
      <w:bookmarkEnd w:id="90"/>
      <w:r w:rsidRPr="00D76A18">
        <w:rPr>
          <w:b/>
          <w:u w:val="single"/>
        </w:rPr>
        <w:t xml:space="preserve"> </w:t>
      </w:r>
    </w:p>
    <w:p w14:paraId="34A62130" w14:textId="680CB527" w:rsidR="00D76A18" w:rsidRDefault="00D47E1C" w:rsidP="00D76A18">
      <w:r>
        <w:t>After 10</w:t>
      </w:r>
      <w:r w:rsidR="00D76A18">
        <w:t xml:space="preserve"> weeks</w:t>
      </w:r>
      <w:r w:rsidR="00FE6031">
        <w:t xml:space="preserve"> + 0 days</w:t>
      </w:r>
      <w:r w:rsidR="00D76A18">
        <w:t xml:space="preserve"> of gestation, medical TOP should be undertaken in a health facility only.  </w:t>
      </w:r>
      <w:r w:rsidR="00FE6031">
        <w:t>Individuals</w:t>
      </w:r>
      <w:r w:rsidR="00D76A18">
        <w:t xml:space="preserve"> should remain in-facility until expulsion of pregnancy is complete. </w:t>
      </w:r>
    </w:p>
    <w:p w14:paraId="22766610" w14:textId="3623EF51" w:rsidR="00D76A18" w:rsidRDefault="00D76A18" w:rsidP="00D76A18"/>
    <w:p w14:paraId="576F9E32" w14:textId="56753A2D" w:rsidR="00252864" w:rsidRDefault="00252864" w:rsidP="00252864">
      <w:pPr>
        <w:pStyle w:val="Caption"/>
        <w:keepNext/>
      </w:pPr>
      <w:bookmarkStart w:id="91" w:name="_Ref531334753"/>
      <w:bookmarkStart w:id="92" w:name="_Toc8387225"/>
      <w:r>
        <w:t xml:space="preserve">Table </w:t>
      </w:r>
      <w:r>
        <w:fldChar w:fldCharType="begin"/>
      </w:r>
      <w:r>
        <w:instrText xml:space="preserve"> SEQ Table \* ARABIC </w:instrText>
      </w:r>
      <w:r>
        <w:fldChar w:fldCharType="separate"/>
      </w:r>
      <w:r w:rsidR="00183285">
        <w:rPr>
          <w:noProof/>
        </w:rPr>
        <w:t>7</w:t>
      </w:r>
      <w:r>
        <w:fldChar w:fldCharType="end"/>
      </w:r>
      <w:bookmarkEnd w:id="91"/>
      <w:r>
        <w:t>. Combined Mifepristone and Misoprostol</w:t>
      </w:r>
      <w:r w:rsidR="00947049" w:rsidRPr="00947049">
        <w:rPr>
          <w:sz w:val="20"/>
        </w:rPr>
        <w:t xml:space="preserve"> </w:t>
      </w:r>
      <w:r w:rsidR="00947049">
        <w:rPr>
          <w:sz w:val="20"/>
        </w:rPr>
        <w:t>and Misoprostol-only protocol</w:t>
      </w:r>
      <w:r>
        <w:t xml:space="preserve"> </w:t>
      </w:r>
      <w:r w:rsidRPr="00947049">
        <w:rPr>
          <w:u w:val="single"/>
        </w:rPr>
        <w:t>&gt;</w:t>
      </w:r>
      <w:r>
        <w:t>12</w:t>
      </w:r>
      <w:r w:rsidR="00947049">
        <w:t xml:space="preserve"> </w:t>
      </w:r>
      <w:r>
        <w:t xml:space="preserve">weeks </w:t>
      </w:r>
      <w:r w:rsidR="00947049">
        <w:t xml:space="preserve">+ 1 day </w:t>
      </w:r>
      <w:r>
        <w:t>gestation</w:t>
      </w:r>
      <w:bookmarkEnd w:id="92"/>
    </w:p>
    <w:tbl>
      <w:tblPr>
        <w:tblStyle w:val="GridTable4-Accent3"/>
        <w:tblW w:w="0" w:type="auto"/>
        <w:tblLook w:val="04A0" w:firstRow="1" w:lastRow="0" w:firstColumn="1" w:lastColumn="0" w:noHBand="0" w:noVBand="1"/>
      </w:tblPr>
      <w:tblGrid>
        <w:gridCol w:w="1478"/>
        <w:gridCol w:w="418"/>
        <w:gridCol w:w="1085"/>
        <w:gridCol w:w="896"/>
        <w:gridCol w:w="1534"/>
        <w:gridCol w:w="2502"/>
        <w:gridCol w:w="1437"/>
      </w:tblGrid>
      <w:tr w:rsidR="00D76A18" w:rsidRPr="001904F0" w14:paraId="63A58898" w14:textId="77777777" w:rsidTr="00B22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vMerge w:val="restart"/>
            <w:tcBorders>
              <w:right w:val="dotted" w:sz="4" w:space="0" w:color="A5A5A5" w:themeColor="accent3"/>
            </w:tcBorders>
          </w:tcPr>
          <w:p w14:paraId="042EC033" w14:textId="77777777" w:rsidR="00D76A18" w:rsidRPr="001904F0" w:rsidRDefault="00D76A18" w:rsidP="00767623">
            <w:pPr>
              <w:jc w:val="center"/>
              <w:rPr>
                <w:rFonts w:cstheme="minorHAnsi"/>
                <w:sz w:val="20"/>
                <w:szCs w:val="20"/>
                <w:lang w:val="en-CA"/>
              </w:rPr>
            </w:pPr>
            <w:r w:rsidRPr="001904F0">
              <w:rPr>
                <w:rFonts w:cstheme="minorHAnsi"/>
                <w:bCs w:val="0"/>
                <w:sz w:val="20"/>
                <w:szCs w:val="20"/>
              </w:rPr>
              <w:t>Gestational age</w:t>
            </w:r>
          </w:p>
        </w:tc>
        <w:tc>
          <w:tcPr>
            <w:tcW w:w="1503" w:type="dxa"/>
            <w:gridSpan w:val="2"/>
            <w:tcBorders>
              <w:left w:val="dotted" w:sz="4" w:space="0" w:color="A5A5A5" w:themeColor="accent3"/>
              <w:right w:val="dotted" w:sz="4" w:space="0" w:color="A5A5A5" w:themeColor="accent3"/>
            </w:tcBorders>
          </w:tcPr>
          <w:p w14:paraId="10901CCD" w14:textId="77777777" w:rsidR="00D76A18" w:rsidRPr="001904F0" w:rsidRDefault="00D76A18" w:rsidP="00767623">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904F0">
              <w:rPr>
                <w:rFonts w:cstheme="minorHAnsi"/>
                <w:bCs w:val="0"/>
                <w:sz w:val="20"/>
                <w:szCs w:val="20"/>
              </w:rPr>
              <w:t>Mifepristone</w:t>
            </w:r>
          </w:p>
          <w:p w14:paraId="03ADA7C3" w14:textId="77777777" w:rsidR="00D76A18" w:rsidRPr="001904F0" w:rsidRDefault="00D76A18" w:rsidP="0076762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bCs w:val="0"/>
                <w:sz w:val="20"/>
                <w:szCs w:val="20"/>
              </w:rPr>
              <w:t>Day 1</w:t>
            </w:r>
          </w:p>
        </w:tc>
        <w:tc>
          <w:tcPr>
            <w:tcW w:w="6369" w:type="dxa"/>
            <w:gridSpan w:val="4"/>
            <w:tcBorders>
              <w:left w:val="dotted" w:sz="4" w:space="0" w:color="A5A5A5" w:themeColor="accent3"/>
            </w:tcBorders>
          </w:tcPr>
          <w:p w14:paraId="38099BAA" w14:textId="77777777" w:rsidR="00D76A18" w:rsidRPr="001904F0" w:rsidRDefault="00D76A18" w:rsidP="0076762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bCs w:val="0"/>
                <w:sz w:val="20"/>
                <w:szCs w:val="20"/>
              </w:rPr>
              <w:t>Misoprostol</w:t>
            </w:r>
          </w:p>
        </w:tc>
      </w:tr>
      <w:tr w:rsidR="00D76A18" w:rsidRPr="001904F0" w14:paraId="32F456CA" w14:textId="77777777" w:rsidTr="00B2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vMerge/>
            <w:tcBorders>
              <w:right w:val="dotted" w:sz="4" w:space="0" w:color="A5A5A5" w:themeColor="accent3"/>
            </w:tcBorders>
          </w:tcPr>
          <w:p w14:paraId="60762621" w14:textId="77777777" w:rsidR="00D76A18" w:rsidRPr="001904F0" w:rsidRDefault="00D76A18" w:rsidP="00767623">
            <w:pPr>
              <w:rPr>
                <w:rFonts w:cstheme="minorHAnsi"/>
                <w:sz w:val="20"/>
                <w:szCs w:val="20"/>
                <w:lang w:val="en-CA"/>
              </w:rPr>
            </w:pPr>
          </w:p>
        </w:tc>
        <w:tc>
          <w:tcPr>
            <w:tcW w:w="1503" w:type="dxa"/>
            <w:gridSpan w:val="2"/>
            <w:tcBorders>
              <w:left w:val="dotted" w:sz="4" w:space="0" w:color="A5A5A5" w:themeColor="accent3"/>
            </w:tcBorders>
          </w:tcPr>
          <w:p w14:paraId="2FA1A3F2" w14:textId="77777777" w:rsidR="00D76A18" w:rsidRPr="001904F0" w:rsidRDefault="00D76A18" w:rsidP="0076762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eastAsia="Arial" w:cstheme="minorHAnsi"/>
                <w:b/>
                <w:sz w:val="20"/>
                <w:szCs w:val="20"/>
              </w:rPr>
              <w:t>Route</w:t>
            </w:r>
          </w:p>
        </w:tc>
        <w:tc>
          <w:tcPr>
            <w:tcW w:w="896" w:type="dxa"/>
          </w:tcPr>
          <w:p w14:paraId="671B3A3A" w14:textId="77777777" w:rsidR="00D76A18" w:rsidRPr="001904F0" w:rsidRDefault="00D76A18" w:rsidP="0076762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eastAsia="Arial" w:cstheme="minorHAnsi"/>
                <w:b/>
                <w:sz w:val="20"/>
                <w:szCs w:val="20"/>
              </w:rPr>
              <w:t>Dose</w:t>
            </w:r>
          </w:p>
        </w:tc>
        <w:tc>
          <w:tcPr>
            <w:tcW w:w="1534" w:type="dxa"/>
          </w:tcPr>
          <w:p w14:paraId="1A95AF92" w14:textId="77777777" w:rsidR="00D76A18" w:rsidRPr="001904F0" w:rsidRDefault="00D76A18" w:rsidP="0076762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eastAsia="Arial" w:cstheme="minorHAnsi"/>
                <w:b/>
                <w:sz w:val="20"/>
                <w:szCs w:val="20"/>
              </w:rPr>
              <w:t>Route</w:t>
            </w:r>
          </w:p>
        </w:tc>
        <w:tc>
          <w:tcPr>
            <w:tcW w:w="2502" w:type="dxa"/>
          </w:tcPr>
          <w:p w14:paraId="7B7D281C" w14:textId="77777777" w:rsidR="00D76A18" w:rsidRPr="001904F0" w:rsidRDefault="00D76A18" w:rsidP="0076762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cstheme="minorHAnsi"/>
                <w:b/>
                <w:sz w:val="20"/>
                <w:szCs w:val="20"/>
              </w:rPr>
              <w:t>Timing</w:t>
            </w:r>
          </w:p>
        </w:tc>
        <w:tc>
          <w:tcPr>
            <w:tcW w:w="1437" w:type="dxa"/>
          </w:tcPr>
          <w:p w14:paraId="0B78C398" w14:textId="77777777" w:rsidR="00D76A18" w:rsidRPr="001904F0" w:rsidRDefault="00D76A18" w:rsidP="0076762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1904F0">
              <w:rPr>
                <w:rFonts w:cstheme="minorHAnsi"/>
                <w:b/>
                <w:sz w:val="20"/>
                <w:szCs w:val="20"/>
              </w:rPr>
              <w:t>Duration</w:t>
            </w:r>
          </w:p>
        </w:tc>
      </w:tr>
      <w:tr w:rsidR="00D76A18" w:rsidRPr="001904F0" w14:paraId="5A3A3298" w14:textId="77777777" w:rsidTr="00B22330">
        <w:tc>
          <w:tcPr>
            <w:cnfStyle w:val="001000000000" w:firstRow="0" w:lastRow="0" w:firstColumn="1" w:lastColumn="0" w:oddVBand="0" w:evenVBand="0" w:oddHBand="0" w:evenHBand="0" w:firstRowFirstColumn="0" w:firstRowLastColumn="0" w:lastRowFirstColumn="0" w:lastRowLastColumn="0"/>
            <w:tcW w:w="1478" w:type="dxa"/>
          </w:tcPr>
          <w:p w14:paraId="62B2628A" w14:textId="3C0C45E8" w:rsidR="00D76A18" w:rsidRPr="00D455C3" w:rsidRDefault="00D455C3" w:rsidP="00767623">
            <w:pPr>
              <w:rPr>
                <w:rFonts w:cstheme="minorHAnsi"/>
                <w:sz w:val="20"/>
                <w:szCs w:val="20"/>
              </w:rPr>
            </w:pPr>
            <w:r>
              <w:rPr>
                <w:rFonts w:cstheme="minorHAnsi"/>
                <w:b w:val="0"/>
                <w:bCs w:val="0"/>
                <w:sz w:val="20"/>
                <w:szCs w:val="20"/>
                <w:u w:val="single"/>
              </w:rPr>
              <w:t xml:space="preserve">&gt; </w:t>
            </w:r>
            <w:r w:rsidR="00D76A18">
              <w:rPr>
                <w:rFonts w:cstheme="minorHAnsi"/>
                <w:b w:val="0"/>
                <w:bCs w:val="0"/>
                <w:sz w:val="20"/>
                <w:szCs w:val="20"/>
              </w:rPr>
              <w:t>12</w:t>
            </w:r>
            <w:r w:rsidR="00D76A18" w:rsidRPr="001904F0">
              <w:rPr>
                <w:rFonts w:cstheme="minorHAnsi"/>
                <w:b w:val="0"/>
                <w:bCs w:val="0"/>
                <w:sz w:val="20"/>
                <w:szCs w:val="20"/>
              </w:rPr>
              <w:t xml:space="preserve"> weeks</w:t>
            </w:r>
            <w:r>
              <w:rPr>
                <w:rFonts w:cstheme="minorHAnsi"/>
                <w:b w:val="0"/>
                <w:bCs w:val="0"/>
                <w:sz w:val="20"/>
                <w:szCs w:val="20"/>
              </w:rPr>
              <w:t xml:space="preserve"> + 1 da</w:t>
            </w:r>
            <w:r w:rsidR="00D427B1">
              <w:rPr>
                <w:rFonts w:cstheme="minorHAnsi"/>
                <w:b w:val="0"/>
                <w:bCs w:val="0"/>
                <w:sz w:val="20"/>
                <w:szCs w:val="20"/>
              </w:rPr>
              <w:t>y</w:t>
            </w:r>
          </w:p>
        </w:tc>
        <w:tc>
          <w:tcPr>
            <w:tcW w:w="1503" w:type="dxa"/>
            <w:gridSpan w:val="2"/>
          </w:tcPr>
          <w:p w14:paraId="707B3C32" w14:textId="77777777" w:rsidR="00D76A18" w:rsidRPr="001904F0"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4F0">
              <w:rPr>
                <w:rFonts w:cstheme="minorHAnsi"/>
                <w:sz w:val="20"/>
                <w:szCs w:val="20"/>
              </w:rPr>
              <w:t>200mg</w:t>
            </w:r>
          </w:p>
          <w:p w14:paraId="42C131DD" w14:textId="77777777" w:rsidR="00D76A18" w:rsidRPr="001904F0"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4F0">
              <w:rPr>
                <w:rFonts w:cstheme="minorHAnsi"/>
                <w:sz w:val="20"/>
                <w:szCs w:val="20"/>
              </w:rPr>
              <w:t>Oral</w:t>
            </w:r>
          </w:p>
          <w:p w14:paraId="08A2D41D" w14:textId="77777777" w:rsidR="00D76A18" w:rsidRPr="001904F0"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1904F0">
              <w:rPr>
                <w:rFonts w:cstheme="minorHAnsi"/>
                <w:sz w:val="20"/>
                <w:szCs w:val="20"/>
              </w:rPr>
              <w:t>Single dose</w:t>
            </w:r>
          </w:p>
        </w:tc>
        <w:tc>
          <w:tcPr>
            <w:tcW w:w="896" w:type="dxa"/>
          </w:tcPr>
          <w:p w14:paraId="69B0146E" w14:textId="7B7E7922" w:rsidR="00D76A18" w:rsidRPr="001904F0"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Pr>
                <w:rFonts w:cstheme="minorHAnsi"/>
                <w:sz w:val="20"/>
                <w:szCs w:val="20"/>
              </w:rPr>
              <w:t>4</w:t>
            </w:r>
            <w:r w:rsidRPr="001904F0">
              <w:rPr>
                <w:rFonts w:cstheme="minorHAnsi"/>
                <w:sz w:val="20"/>
                <w:szCs w:val="20"/>
              </w:rPr>
              <w:t>00µg</w:t>
            </w:r>
          </w:p>
        </w:tc>
        <w:tc>
          <w:tcPr>
            <w:tcW w:w="1534" w:type="dxa"/>
          </w:tcPr>
          <w:p w14:paraId="230CAD22" w14:textId="77777777" w:rsidR="00D76A18" w:rsidRPr="001904F0"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4F0">
              <w:rPr>
                <w:rFonts w:cstheme="minorHAnsi"/>
                <w:sz w:val="20"/>
                <w:szCs w:val="20"/>
              </w:rPr>
              <w:t>Sublingual, Vaginal, or Buccal</w:t>
            </w:r>
          </w:p>
          <w:p w14:paraId="385ABDC7" w14:textId="58BAF3F2" w:rsidR="00D76A18"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07438EC" w14:textId="70AE4D3C" w:rsidR="00D76A18" w:rsidRPr="001904F0"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p>
        </w:tc>
        <w:tc>
          <w:tcPr>
            <w:tcW w:w="2502" w:type="dxa"/>
          </w:tcPr>
          <w:p w14:paraId="55B86743" w14:textId="7ABD5402" w:rsidR="00D76A18" w:rsidRPr="001904F0" w:rsidRDefault="00821B3B"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 days (after taking m</w:t>
            </w:r>
            <w:r w:rsidR="00D76A18" w:rsidRPr="001904F0">
              <w:rPr>
                <w:rFonts w:cstheme="minorHAnsi"/>
                <w:sz w:val="20"/>
                <w:szCs w:val="20"/>
              </w:rPr>
              <w:t>ifepristone</w:t>
            </w:r>
            <w:r>
              <w:rPr>
                <w:rFonts w:cstheme="minorHAnsi"/>
                <w:sz w:val="20"/>
                <w:szCs w:val="20"/>
              </w:rPr>
              <w:t>)</w:t>
            </w:r>
          </w:p>
          <w:p w14:paraId="1E5E51A7" w14:textId="77777777" w:rsidR="00D76A18" w:rsidRPr="001904F0"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4AA3882" w14:textId="4785671D" w:rsidR="00D76A18" w:rsidRPr="00D76A18" w:rsidRDefault="00821B3B" w:rsidP="00D76A18">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rPr>
            </w:pPr>
            <w:r>
              <w:rPr>
                <w:rFonts w:eastAsia="Times New Roman" w:cstheme="minorHAnsi"/>
                <w:sz w:val="20"/>
                <w:szCs w:val="20"/>
                <w:lang w:val="en-US"/>
              </w:rPr>
              <w:t xml:space="preserve">The minimum recommended interval between mifepristone and misoprostol is at least 24 hours. </w:t>
            </w:r>
          </w:p>
        </w:tc>
        <w:tc>
          <w:tcPr>
            <w:tcW w:w="1437" w:type="dxa"/>
          </w:tcPr>
          <w:p w14:paraId="6162FF65" w14:textId="6E33F6DC" w:rsidR="000B0D8B" w:rsidRDefault="00F15A94" w:rsidP="00767623">
            <w:pPr>
              <w:cnfStyle w:val="000000000000" w:firstRow="0" w:lastRow="0" w:firstColumn="0" w:lastColumn="0" w:oddVBand="0" w:evenVBand="0" w:oddHBand="0" w:evenHBand="0" w:firstRowFirstColumn="0" w:firstRowLastColumn="0" w:lastRowFirstColumn="0" w:lastRowLastColumn="0"/>
              <w:rPr>
                <w:sz w:val="20"/>
              </w:rPr>
            </w:pPr>
            <w:r>
              <w:rPr>
                <w:sz w:val="20"/>
              </w:rPr>
              <w:t>Every 3 hours until f</w:t>
            </w:r>
            <w:r w:rsidR="00D76A18" w:rsidRPr="00FA54AC">
              <w:rPr>
                <w:sz w:val="20"/>
              </w:rPr>
              <w:t>etal and placental expulsion</w:t>
            </w:r>
            <w:r w:rsidR="00D76A18">
              <w:rPr>
                <w:sz w:val="20"/>
              </w:rPr>
              <w:t xml:space="preserve">. </w:t>
            </w:r>
          </w:p>
          <w:p w14:paraId="11468A74" w14:textId="48683917" w:rsidR="00D76A18" w:rsidRPr="001904F0" w:rsidRDefault="00D76A18" w:rsidP="0076762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Pr>
                <w:sz w:val="20"/>
              </w:rPr>
              <w:t>Note</w:t>
            </w:r>
            <w:r w:rsidR="000B0D8B">
              <w:rPr>
                <w:sz w:val="20"/>
              </w:rPr>
              <w:t>: T</w:t>
            </w:r>
            <w:r>
              <w:rPr>
                <w:sz w:val="20"/>
              </w:rPr>
              <w:t>here is no maximum number of doses.</w:t>
            </w:r>
          </w:p>
        </w:tc>
      </w:tr>
      <w:tr w:rsidR="00B22330" w:rsidRPr="001904F0" w14:paraId="61498E03" w14:textId="77777777" w:rsidTr="00B2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29E6125C" w14:textId="77777777" w:rsidR="00B22330" w:rsidRDefault="00B22330" w:rsidP="00B22330">
            <w:pPr>
              <w:rPr>
                <w:rFonts w:cstheme="minorHAnsi"/>
                <w:b w:val="0"/>
                <w:bCs w:val="0"/>
                <w:sz w:val="20"/>
                <w:szCs w:val="20"/>
                <w:u w:val="single"/>
              </w:rPr>
            </w:pPr>
            <w:r w:rsidRPr="00DD6FA0">
              <w:rPr>
                <w:rFonts w:cstheme="minorHAnsi"/>
                <w:b w:val="0"/>
                <w:bCs w:val="0"/>
                <w:sz w:val="20"/>
                <w:szCs w:val="20"/>
              </w:rPr>
              <w:t>Misoprostol only regimen:</w:t>
            </w:r>
            <w:r>
              <w:rPr>
                <w:rFonts w:cstheme="minorHAnsi"/>
                <w:b w:val="0"/>
                <w:bCs w:val="0"/>
                <w:sz w:val="20"/>
                <w:szCs w:val="20"/>
                <w:u w:val="single"/>
              </w:rPr>
              <w:t xml:space="preserve"> </w:t>
            </w:r>
          </w:p>
          <w:p w14:paraId="4F0630DE" w14:textId="3F11E691" w:rsidR="00B22330" w:rsidRDefault="00B22330" w:rsidP="00B22330">
            <w:pPr>
              <w:rPr>
                <w:rFonts w:cstheme="minorHAnsi"/>
                <w:b w:val="0"/>
                <w:bCs w:val="0"/>
                <w:sz w:val="20"/>
                <w:szCs w:val="20"/>
                <w:u w:val="single"/>
              </w:rPr>
            </w:pPr>
            <w:r>
              <w:rPr>
                <w:rFonts w:cstheme="minorHAnsi"/>
                <w:b w:val="0"/>
                <w:bCs w:val="0"/>
                <w:sz w:val="20"/>
                <w:szCs w:val="20"/>
                <w:u w:val="single"/>
              </w:rPr>
              <w:lastRenderedPageBreak/>
              <w:t>&gt;</w:t>
            </w:r>
            <w:r>
              <w:rPr>
                <w:rFonts w:cstheme="minorHAnsi"/>
                <w:b w:val="0"/>
                <w:bCs w:val="0"/>
                <w:sz w:val="20"/>
                <w:szCs w:val="20"/>
              </w:rPr>
              <w:t xml:space="preserve"> </w:t>
            </w:r>
            <w:r w:rsidRPr="001904F0">
              <w:rPr>
                <w:rFonts w:cstheme="minorHAnsi"/>
                <w:b w:val="0"/>
                <w:bCs w:val="0"/>
                <w:sz w:val="20"/>
                <w:szCs w:val="20"/>
              </w:rPr>
              <w:t xml:space="preserve">12 weeks </w:t>
            </w:r>
            <w:r>
              <w:rPr>
                <w:rFonts w:cstheme="minorHAnsi"/>
                <w:b w:val="0"/>
                <w:bCs w:val="0"/>
                <w:sz w:val="20"/>
                <w:szCs w:val="20"/>
              </w:rPr>
              <w:t>+ 1 days</w:t>
            </w:r>
          </w:p>
        </w:tc>
        <w:tc>
          <w:tcPr>
            <w:tcW w:w="1503" w:type="dxa"/>
            <w:gridSpan w:val="2"/>
            <w:vAlign w:val="center"/>
          </w:tcPr>
          <w:p w14:paraId="3B8D83D9" w14:textId="38C8952E" w:rsidR="00B22330" w:rsidRPr="001904F0" w:rsidRDefault="00B22330" w:rsidP="00B2233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N/A</w:t>
            </w:r>
          </w:p>
        </w:tc>
        <w:tc>
          <w:tcPr>
            <w:tcW w:w="6369" w:type="dxa"/>
            <w:gridSpan w:val="4"/>
            <w:vAlign w:val="center"/>
          </w:tcPr>
          <w:p w14:paraId="4C22775A" w14:textId="2406ED41" w:rsidR="00B22330" w:rsidRPr="00FA54AC" w:rsidRDefault="00B22330" w:rsidP="00B22330">
            <w:pPr>
              <w:jc w:val="center"/>
              <w:cnfStyle w:val="000000100000" w:firstRow="0" w:lastRow="0" w:firstColumn="0" w:lastColumn="0" w:oddVBand="0" w:evenVBand="0" w:oddHBand="1" w:evenHBand="0" w:firstRowFirstColumn="0" w:firstRowLastColumn="0" w:lastRowFirstColumn="0" w:lastRowLastColumn="0"/>
              <w:rPr>
                <w:sz w:val="20"/>
              </w:rPr>
            </w:pPr>
            <w:r>
              <w:rPr>
                <w:rFonts w:cstheme="minorHAnsi"/>
                <w:sz w:val="20"/>
                <w:szCs w:val="20"/>
              </w:rPr>
              <w:t>Same as outlined above.</w:t>
            </w:r>
          </w:p>
        </w:tc>
      </w:tr>
      <w:tr w:rsidR="00B22330" w:rsidRPr="001904F0" w14:paraId="610E2741" w14:textId="77777777" w:rsidTr="00767623">
        <w:tc>
          <w:tcPr>
            <w:cnfStyle w:val="001000000000" w:firstRow="0" w:lastRow="0" w:firstColumn="1" w:lastColumn="0" w:oddVBand="0" w:evenVBand="0" w:oddHBand="0" w:evenHBand="0" w:firstRowFirstColumn="0" w:firstRowLastColumn="0" w:lastRowFirstColumn="0" w:lastRowLastColumn="0"/>
            <w:tcW w:w="9350" w:type="dxa"/>
            <w:gridSpan w:val="7"/>
            <w:shd w:val="clear" w:color="auto" w:fill="A5A5A5" w:themeFill="accent3"/>
            <w:vAlign w:val="center"/>
          </w:tcPr>
          <w:p w14:paraId="05B3E2BD" w14:textId="77777777" w:rsidR="00B22330" w:rsidRPr="001904F0" w:rsidRDefault="00B22330" w:rsidP="00B22330">
            <w:pPr>
              <w:rPr>
                <w:rFonts w:cstheme="minorHAnsi"/>
                <w:sz w:val="20"/>
                <w:szCs w:val="20"/>
                <w:lang w:val="en-CA"/>
              </w:rPr>
            </w:pPr>
          </w:p>
        </w:tc>
      </w:tr>
      <w:tr w:rsidR="00B22330" w:rsidRPr="001904F0" w14:paraId="2FC63D85" w14:textId="77777777" w:rsidTr="00B2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gridSpan w:val="2"/>
          </w:tcPr>
          <w:p w14:paraId="7704C419" w14:textId="454B9EDD" w:rsidR="00B22330" w:rsidRPr="001904F0" w:rsidRDefault="00B22330" w:rsidP="00B22330">
            <w:pPr>
              <w:rPr>
                <w:rFonts w:cstheme="minorHAnsi"/>
                <w:b w:val="0"/>
                <w:bCs w:val="0"/>
                <w:sz w:val="20"/>
                <w:szCs w:val="20"/>
              </w:rPr>
            </w:pPr>
            <w:r w:rsidRPr="001904F0">
              <w:rPr>
                <w:rFonts w:cstheme="minorHAnsi"/>
                <w:sz w:val="20"/>
                <w:szCs w:val="20"/>
              </w:rPr>
              <w:t xml:space="preserve">Administer the medication to initiate medical </w:t>
            </w:r>
            <w:r>
              <w:rPr>
                <w:rFonts w:cstheme="minorHAnsi"/>
                <w:sz w:val="20"/>
                <w:szCs w:val="20"/>
              </w:rPr>
              <w:t>TOP</w:t>
            </w:r>
          </w:p>
        </w:tc>
        <w:tc>
          <w:tcPr>
            <w:tcW w:w="7454" w:type="dxa"/>
            <w:gridSpan w:val="5"/>
            <w:vAlign w:val="center"/>
          </w:tcPr>
          <w:p w14:paraId="0CE3EAF9" w14:textId="689B7EC8" w:rsidR="00B22330" w:rsidRPr="00773250" w:rsidRDefault="00B22330" w:rsidP="00B22330">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sidRPr="00773250">
              <w:rPr>
                <w:bCs/>
                <w:sz w:val="20"/>
                <w:szCs w:val="20"/>
              </w:rPr>
              <w:t>Mifepriston</w:t>
            </w:r>
            <w:r>
              <w:rPr>
                <w:bCs/>
                <w:sz w:val="20"/>
                <w:szCs w:val="20"/>
              </w:rPr>
              <w:t xml:space="preserve">e is always administered orally. </w:t>
            </w:r>
          </w:p>
          <w:p w14:paraId="04FF6098" w14:textId="1FF8C3B9" w:rsidR="00B22330" w:rsidRDefault="00B22330" w:rsidP="00B22330">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sidRPr="00773250">
              <w:rPr>
                <w:bCs/>
                <w:sz w:val="20"/>
                <w:szCs w:val="20"/>
              </w:rPr>
              <w:t>Misoprostol can be administered by different routes</w:t>
            </w:r>
            <w:r>
              <w:rPr>
                <w:bCs/>
                <w:sz w:val="20"/>
                <w:szCs w:val="20"/>
              </w:rPr>
              <w:t xml:space="preserve"> </w:t>
            </w:r>
            <w:r w:rsidRPr="00A61756">
              <w:rPr>
                <w:rFonts w:eastAsia="Times New Roman" w:cs="Times New Roman"/>
                <w:sz w:val="20"/>
                <w:lang w:val="en-US"/>
              </w:rPr>
              <w:t>including</w:t>
            </w:r>
            <w:r>
              <w:rPr>
                <w:rFonts w:eastAsia="Times New Roman" w:cs="Times New Roman"/>
                <w:sz w:val="20"/>
                <w:lang w:val="en-US"/>
              </w:rPr>
              <w:t>:</w:t>
            </w:r>
            <w:r w:rsidRPr="00A61756">
              <w:rPr>
                <w:rFonts w:eastAsia="Times New Roman" w:cs="Times New Roman"/>
                <w:sz w:val="20"/>
                <w:lang w:val="en-US"/>
              </w:rPr>
              <w:t xml:space="preserve"> oral, vaginal, buccal and sublingual. </w:t>
            </w:r>
            <w:r w:rsidRPr="00A61756">
              <w:rPr>
                <w:rFonts w:eastAsia="Times New Roman" w:cs="Calibri"/>
                <w:sz w:val="20"/>
                <w:lang w:val="en-US"/>
              </w:rPr>
              <w:t xml:space="preserve">Evidence suggests that </w:t>
            </w:r>
            <w:r>
              <w:rPr>
                <w:rFonts w:eastAsia="Times New Roman" w:cs="Calibri"/>
                <w:sz w:val="20"/>
                <w:lang w:val="en-US"/>
              </w:rPr>
              <w:t xml:space="preserve">the </w:t>
            </w:r>
            <w:r w:rsidRPr="00A61756">
              <w:rPr>
                <w:rFonts w:eastAsia="Times New Roman" w:cs="Calibri"/>
                <w:sz w:val="20"/>
                <w:lang w:val="en-US"/>
              </w:rPr>
              <w:t>vaginal route is the most effective</w:t>
            </w:r>
            <w:r>
              <w:rPr>
                <w:rFonts w:eastAsia="Times New Roman" w:cs="Calibri"/>
                <w:sz w:val="20"/>
                <w:lang w:val="en-US"/>
              </w:rPr>
              <w:t>.</w:t>
            </w:r>
            <w:r w:rsidRPr="00773250">
              <w:rPr>
                <w:bCs/>
                <w:sz w:val="20"/>
                <w:szCs w:val="20"/>
              </w:rPr>
              <w:t xml:space="preserve"> Consideration to p</w:t>
            </w:r>
            <w:r>
              <w:rPr>
                <w:bCs/>
                <w:sz w:val="20"/>
                <w:szCs w:val="20"/>
              </w:rPr>
              <w:t xml:space="preserve">atient and provider preference </w:t>
            </w:r>
            <w:r w:rsidRPr="00773250">
              <w:rPr>
                <w:bCs/>
                <w:sz w:val="20"/>
                <w:szCs w:val="20"/>
              </w:rPr>
              <w:t xml:space="preserve">suggests the inclusion of all routes, including buccal administration.  </w:t>
            </w:r>
          </w:p>
          <w:p w14:paraId="2B66458E" w14:textId="3B7EA4F7" w:rsidR="00B22330" w:rsidRPr="00D76A18" w:rsidRDefault="00B22330" w:rsidP="00B22330">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sidRPr="00D76A18">
              <w:rPr>
                <w:rFonts w:eastAsia="Times New Roman" w:cs="Calibri"/>
                <w:sz w:val="20"/>
                <w:lang w:val="en-US"/>
              </w:rPr>
              <w:t>The use of a loading dose of misoprostol i</w:t>
            </w:r>
            <w:r>
              <w:rPr>
                <w:rFonts w:eastAsia="Times New Roman" w:cs="Calibri"/>
                <w:sz w:val="20"/>
                <w:lang w:val="en-US"/>
              </w:rPr>
              <w:t>s</w:t>
            </w:r>
            <w:r w:rsidRPr="00D76A18">
              <w:rPr>
                <w:rFonts w:eastAsia="Times New Roman" w:cs="Calibri"/>
                <w:sz w:val="20"/>
                <w:lang w:val="en-US"/>
              </w:rPr>
              <w:t xml:space="preserve"> </w:t>
            </w:r>
            <w:r w:rsidRPr="00A83399">
              <w:rPr>
                <w:rFonts w:eastAsia="Times New Roman" w:cs="Calibri"/>
                <w:sz w:val="20"/>
                <w:u w:val="single"/>
                <w:lang w:val="en-US"/>
              </w:rPr>
              <w:t>not</w:t>
            </w:r>
            <w:r w:rsidRPr="00D76A18">
              <w:rPr>
                <w:rFonts w:eastAsia="Times New Roman" w:cs="Calibri"/>
                <w:sz w:val="20"/>
                <w:lang w:val="en-US"/>
              </w:rPr>
              <w:t xml:space="preserve"> necessary. There is no advantage to the use of moistened over dry misoprostol.    </w:t>
            </w:r>
          </w:p>
          <w:p w14:paraId="21BAFA2F" w14:textId="77777777" w:rsidR="00B22330" w:rsidRPr="004B7C93" w:rsidRDefault="00B22330" w:rsidP="00B22330">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sidRPr="00773250">
              <w:rPr>
                <w:bCs/>
                <w:sz w:val="20"/>
                <w:szCs w:val="20"/>
              </w:rPr>
              <w:t xml:space="preserve">Antibiotic prophylaxis is not necessary for medical </w:t>
            </w:r>
            <w:r w:rsidRPr="00773250">
              <w:rPr>
                <w:sz w:val="20"/>
                <w:szCs w:val="20"/>
              </w:rPr>
              <w:t>TOP</w:t>
            </w:r>
            <w:r>
              <w:rPr>
                <w:sz w:val="20"/>
                <w:szCs w:val="20"/>
              </w:rPr>
              <w:t>.</w:t>
            </w:r>
          </w:p>
          <w:p w14:paraId="5F5A8C53" w14:textId="0B75C901" w:rsidR="00B22330" w:rsidRPr="004B7C93" w:rsidRDefault="00B22330" w:rsidP="00B22330">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bCs/>
                <w:sz w:val="20"/>
                <w:szCs w:val="20"/>
              </w:rPr>
            </w:pPr>
            <w:r w:rsidRPr="00A61756">
              <w:rPr>
                <w:rFonts w:eastAsia="Times New Roman" w:cs="Calibri"/>
                <w:sz w:val="20"/>
                <w:lang w:val="en-US"/>
              </w:rPr>
              <w:t>Health care providers should use</w:t>
            </w:r>
            <w:r>
              <w:rPr>
                <w:rFonts w:eastAsia="Times New Roman" w:cs="Calibri"/>
                <w:sz w:val="20"/>
                <w:lang w:val="en-US"/>
              </w:rPr>
              <w:t xml:space="preserve"> </w:t>
            </w:r>
            <w:r w:rsidRPr="00A61756">
              <w:rPr>
                <w:rFonts w:eastAsia="Times New Roman" w:cs="Calibri"/>
                <w:sz w:val="20"/>
                <w:lang w:val="en-US"/>
              </w:rPr>
              <w:t xml:space="preserve">caution and clinical judgment to decide the maximum number of doses of misoprostol in </w:t>
            </w:r>
            <w:r>
              <w:rPr>
                <w:rFonts w:eastAsia="Times New Roman" w:cs="Calibri"/>
                <w:sz w:val="20"/>
                <w:lang w:val="en-US"/>
              </w:rPr>
              <w:t>individuals</w:t>
            </w:r>
            <w:r w:rsidRPr="00A61756">
              <w:rPr>
                <w:rFonts w:eastAsia="Times New Roman" w:cs="Calibri"/>
                <w:sz w:val="20"/>
                <w:lang w:val="en-US"/>
              </w:rPr>
              <w:t xml:space="preserve"> with prior uterine incision. Uterine rupture</w:t>
            </w:r>
            <w:r>
              <w:rPr>
                <w:rFonts w:eastAsia="Times New Roman" w:cs="Calibri"/>
                <w:sz w:val="20"/>
                <w:lang w:val="en-US"/>
              </w:rPr>
              <w:t xml:space="preserve"> </w:t>
            </w:r>
            <w:r w:rsidRPr="00A61756">
              <w:rPr>
                <w:rFonts w:eastAsia="Times New Roman" w:cs="Calibri"/>
                <w:sz w:val="20"/>
                <w:lang w:val="en-US"/>
              </w:rPr>
              <w:t>is</w:t>
            </w:r>
            <w:r>
              <w:rPr>
                <w:rFonts w:eastAsia="Times New Roman" w:cs="Calibri"/>
                <w:sz w:val="20"/>
                <w:lang w:val="en-US"/>
              </w:rPr>
              <w:t xml:space="preserve"> a rare complication;</w:t>
            </w:r>
            <w:r w:rsidRPr="00A61756">
              <w:rPr>
                <w:rFonts w:eastAsia="Times New Roman" w:cs="Calibri"/>
                <w:sz w:val="20"/>
                <w:lang w:val="en-US"/>
              </w:rPr>
              <w:t xml:space="preserve"> clinical judgement and health system</w:t>
            </w:r>
            <w:r>
              <w:rPr>
                <w:rFonts w:eastAsia="Times New Roman" w:cs="Calibri"/>
                <w:sz w:val="20"/>
                <w:lang w:val="en-US"/>
              </w:rPr>
              <w:t xml:space="preserve"> </w:t>
            </w:r>
            <w:r w:rsidRPr="00A61756">
              <w:rPr>
                <w:rFonts w:eastAsia="Times New Roman" w:cs="Calibri"/>
                <w:sz w:val="20"/>
                <w:lang w:val="en-US"/>
              </w:rPr>
              <w:t xml:space="preserve">preparedness </w:t>
            </w:r>
            <w:r>
              <w:rPr>
                <w:rFonts w:eastAsia="Times New Roman" w:cs="Calibri"/>
                <w:sz w:val="20"/>
                <w:lang w:val="en-US"/>
              </w:rPr>
              <w:t>f</w:t>
            </w:r>
            <w:r w:rsidRPr="00A61756">
              <w:rPr>
                <w:rFonts w:eastAsia="Times New Roman" w:cs="Calibri"/>
                <w:sz w:val="20"/>
                <w:lang w:val="en-US"/>
              </w:rPr>
              <w:t>or emergency management of uterine rupture must be considered with advanced gestational age</w:t>
            </w:r>
            <w:r>
              <w:rPr>
                <w:rFonts w:eastAsia="Times New Roman" w:cs="Calibri"/>
                <w:sz w:val="20"/>
                <w:lang w:val="en-US"/>
              </w:rPr>
              <w:t>.</w:t>
            </w:r>
          </w:p>
        </w:tc>
      </w:tr>
      <w:tr w:rsidR="00B22330" w:rsidRPr="001904F0" w14:paraId="7174CE8C" w14:textId="77777777" w:rsidTr="00B22330">
        <w:tc>
          <w:tcPr>
            <w:cnfStyle w:val="001000000000" w:firstRow="0" w:lastRow="0" w:firstColumn="1" w:lastColumn="0" w:oddVBand="0" w:evenVBand="0" w:oddHBand="0" w:evenHBand="0" w:firstRowFirstColumn="0" w:firstRowLastColumn="0" w:lastRowFirstColumn="0" w:lastRowLastColumn="0"/>
            <w:tcW w:w="1896" w:type="dxa"/>
            <w:gridSpan w:val="2"/>
          </w:tcPr>
          <w:p w14:paraId="6332EA56" w14:textId="3D9CDA51" w:rsidR="00B22330" w:rsidRPr="001904F0" w:rsidRDefault="00B22330" w:rsidP="00B22330">
            <w:pPr>
              <w:rPr>
                <w:rFonts w:cstheme="minorHAnsi"/>
                <w:sz w:val="20"/>
                <w:szCs w:val="20"/>
              </w:rPr>
            </w:pPr>
            <w:r w:rsidRPr="004E7D61">
              <w:rPr>
                <w:rFonts w:cstheme="minorHAnsi"/>
                <w:sz w:val="20"/>
                <w:szCs w:val="20"/>
              </w:rPr>
              <w:t xml:space="preserve">Ensure prompt administration of repeat misoprostol as necessary and </w:t>
            </w:r>
            <w:r>
              <w:rPr>
                <w:rFonts w:cstheme="minorHAnsi"/>
                <w:sz w:val="20"/>
                <w:szCs w:val="20"/>
              </w:rPr>
              <w:t>o</w:t>
            </w:r>
            <w:r w:rsidRPr="00773250">
              <w:rPr>
                <w:rFonts w:cstheme="minorHAnsi"/>
                <w:sz w:val="20"/>
                <w:szCs w:val="20"/>
              </w:rPr>
              <w:t>ffer supportive care prior to and during pregnancy expulsion</w:t>
            </w:r>
          </w:p>
        </w:tc>
        <w:tc>
          <w:tcPr>
            <w:tcW w:w="7454" w:type="dxa"/>
            <w:gridSpan w:val="5"/>
            <w:vAlign w:val="center"/>
          </w:tcPr>
          <w:p w14:paraId="08133AB3" w14:textId="4EB6F2AA" w:rsidR="00B22330" w:rsidRPr="004E7D61" w:rsidRDefault="00B22330" w:rsidP="00B2233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4E7D61">
              <w:rPr>
                <w:sz w:val="20"/>
                <w:szCs w:val="20"/>
              </w:rPr>
              <w:t>Cramping will often begin before the second dose of misoprostol is administered</w:t>
            </w:r>
            <w:r>
              <w:rPr>
                <w:sz w:val="20"/>
                <w:szCs w:val="20"/>
              </w:rPr>
              <w:t xml:space="preserve">, </w:t>
            </w:r>
            <w:r w:rsidRPr="004E7D61">
              <w:rPr>
                <w:sz w:val="20"/>
                <w:szCs w:val="20"/>
              </w:rPr>
              <w:t xml:space="preserve">however, timing is variable. From the timing of the first dose of misoprostol, </w:t>
            </w:r>
            <w:r>
              <w:rPr>
                <w:sz w:val="20"/>
                <w:szCs w:val="20"/>
              </w:rPr>
              <w:t>the individual</w:t>
            </w:r>
            <w:r w:rsidRPr="004E7D61">
              <w:rPr>
                <w:sz w:val="20"/>
                <w:szCs w:val="20"/>
              </w:rPr>
              <w:t xml:space="preserve"> should be monitored regularly, particularly in relation to their need for pain management. </w:t>
            </w:r>
          </w:p>
          <w:p w14:paraId="64BF9F8B" w14:textId="37F6D30F" w:rsidR="00B22330" w:rsidRPr="004E7D61" w:rsidRDefault="00B22330" w:rsidP="00B2233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4E7D61">
              <w:rPr>
                <w:sz w:val="20"/>
                <w:szCs w:val="20"/>
              </w:rPr>
              <w:t>If the foetus/products of conceptio</w:t>
            </w:r>
            <w:r>
              <w:rPr>
                <w:sz w:val="20"/>
                <w:szCs w:val="20"/>
              </w:rPr>
              <w:t xml:space="preserve">n (POC) have not passed after 8 to </w:t>
            </w:r>
            <w:r w:rsidRPr="004E7D61">
              <w:rPr>
                <w:sz w:val="20"/>
                <w:szCs w:val="20"/>
              </w:rPr>
              <w:t>10 hours of receiving misoprostol, perform a vaginal examination, and remove the POC if present in the vagina or cervical os.</w:t>
            </w:r>
          </w:p>
          <w:p w14:paraId="39C5B9C7" w14:textId="4A8E8AAF" w:rsidR="00B22330" w:rsidRPr="00D0017F" w:rsidRDefault="00B22330" w:rsidP="00B2233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4E7D61">
              <w:rPr>
                <w:b/>
                <w:sz w:val="20"/>
                <w:szCs w:val="20"/>
              </w:rPr>
              <w:t>Routine uterine curettage is unwarranted.</w:t>
            </w:r>
            <w:r w:rsidRPr="004E7D61">
              <w:rPr>
                <w:sz w:val="20"/>
                <w:szCs w:val="20"/>
              </w:rPr>
              <w:t xml:space="preserve"> Use of modern methods of medical </w:t>
            </w:r>
            <w:r>
              <w:rPr>
                <w:sz w:val="20"/>
                <w:szCs w:val="20"/>
              </w:rPr>
              <w:t>TOP</w:t>
            </w:r>
            <w:r w:rsidRPr="004E7D61">
              <w:rPr>
                <w:sz w:val="20"/>
                <w:szCs w:val="20"/>
              </w:rPr>
              <w:t xml:space="preserve"> (misoprostol with </w:t>
            </w:r>
            <w:r>
              <w:rPr>
                <w:sz w:val="20"/>
                <w:szCs w:val="20"/>
              </w:rPr>
              <w:t>or without mifepristone) result</w:t>
            </w:r>
            <w:r w:rsidRPr="004E7D61">
              <w:rPr>
                <w:sz w:val="20"/>
                <w:szCs w:val="20"/>
              </w:rPr>
              <w:t xml:space="preserve"> in low rates (&lt;10%) of retained placenta. Uterine evacuation by vacuum aspiration to remove the placenta should only be performed in </w:t>
            </w:r>
            <w:r>
              <w:rPr>
                <w:sz w:val="20"/>
                <w:szCs w:val="20"/>
              </w:rPr>
              <w:t>individuals</w:t>
            </w:r>
            <w:r w:rsidRPr="004E7D61">
              <w:rPr>
                <w:sz w:val="20"/>
                <w:szCs w:val="20"/>
              </w:rPr>
              <w:t xml:space="preserve"> who have heavy bleeding, fever</w:t>
            </w:r>
            <w:r>
              <w:rPr>
                <w:sz w:val="20"/>
                <w:szCs w:val="20"/>
              </w:rPr>
              <w:t>,</w:t>
            </w:r>
            <w:r w:rsidRPr="004E7D61">
              <w:rPr>
                <w:sz w:val="20"/>
                <w:szCs w:val="20"/>
              </w:rPr>
              <w:t xml:space="preserve"> </w:t>
            </w:r>
            <w:r>
              <w:rPr>
                <w:sz w:val="20"/>
                <w:szCs w:val="20"/>
              </w:rPr>
              <w:t xml:space="preserve">or a retained placenta beyond 3 to </w:t>
            </w:r>
            <w:r w:rsidRPr="004E7D61">
              <w:rPr>
                <w:sz w:val="20"/>
                <w:szCs w:val="20"/>
              </w:rPr>
              <w:t xml:space="preserve">4 hours. </w:t>
            </w:r>
          </w:p>
        </w:tc>
      </w:tr>
      <w:tr w:rsidR="00B22330" w:rsidRPr="001904F0" w14:paraId="46894018" w14:textId="77777777" w:rsidTr="00B2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gridSpan w:val="2"/>
          </w:tcPr>
          <w:p w14:paraId="2924C719" w14:textId="6EC2A9CB" w:rsidR="00B22330" w:rsidRPr="001904F0" w:rsidRDefault="00B22330" w:rsidP="00B22330">
            <w:pPr>
              <w:rPr>
                <w:rFonts w:cstheme="minorHAnsi"/>
                <w:sz w:val="20"/>
                <w:szCs w:val="20"/>
              </w:rPr>
            </w:pPr>
            <w:r w:rsidRPr="003A3534">
              <w:rPr>
                <w:rFonts w:cstheme="minorHAnsi"/>
                <w:sz w:val="20"/>
                <w:szCs w:val="20"/>
              </w:rPr>
              <w:t>Recovery and discharge from facility</w:t>
            </w:r>
          </w:p>
        </w:tc>
        <w:tc>
          <w:tcPr>
            <w:tcW w:w="7454" w:type="dxa"/>
            <w:gridSpan w:val="5"/>
            <w:vAlign w:val="center"/>
          </w:tcPr>
          <w:p w14:paraId="42A12444" w14:textId="5FA5D67B" w:rsidR="00B22330" w:rsidRPr="003A3534" w:rsidRDefault="00B22330" w:rsidP="00B2233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3A3534">
              <w:rPr>
                <w:sz w:val="20"/>
                <w:szCs w:val="20"/>
              </w:rPr>
              <w:t xml:space="preserve">Reassure the </w:t>
            </w:r>
            <w:r>
              <w:rPr>
                <w:sz w:val="20"/>
                <w:szCs w:val="20"/>
              </w:rPr>
              <w:t>individual</w:t>
            </w:r>
            <w:r w:rsidRPr="003A3534">
              <w:rPr>
                <w:sz w:val="20"/>
                <w:szCs w:val="20"/>
              </w:rPr>
              <w:t xml:space="preserve"> that the pr</w:t>
            </w:r>
            <w:r>
              <w:rPr>
                <w:sz w:val="20"/>
                <w:szCs w:val="20"/>
              </w:rPr>
              <w:t>ocedure is finished and that the individual</w:t>
            </w:r>
            <w:r w:rsidRPr="003A3534">
              <w:rPr>
                <w:sz w:val="20"/>
                <w:szCs w:val="20"/>
              </w:rPr>
              <w:t xml:space="preserve"> is no longer pregnant</w:t>
            </w:r>
            <w:r>
              <w:rPr>
                <w:sz w:val="20"/>
                <w:szCs w:val="20"/>
              </w:rPr>
              <w:t>.</w:t>
            </w:r>
          </w:p>
          <w:p w14:paraId="3AF91241" w14:textId="70D0E5B0" w:rsidR="00B22330" w:rsidRPr="003A3534" w:rsidRDefault="00B22330" w:rsidP="00B2233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Monitor the individual</w:t>
            </w:r>
            <w:r w:rsidRPr="003A3534">
              <w:rPr>
                <w:sz w:val="20"/>
                <w:szCs w:val="20"/>
              </w:rPr>
              <w:t xml:space="preserve"> for any complications and provide management as needed.</w:t>
            </w:r>
            <w:r>
              <w:rPr>
                <w:sz w:val="20"/>
                <w:szCs w:val="20"/>
              </w:rPr>
              <w:t xml:space="preserve"> They</w:t>
            </w:r>
            <w:r w:rsidRPr="003A3534">
              <w:rPr>
                <w:sz w:val="20"/>
                <w:szCs w:val="20"/>
              </w:rPr>
              <w:t xml:space="preserve"> may leave the facility when stable and meets criteria for discharge. </w:t>
            </w:r>
          </w:p>
          <w:p w14:paraId="003E2162" w14:textId="613C70EA" w:rsidR="00B22330" w:rsidRPr="003A3534" w:rsidRDefault="00B22330" w:rsidP="00B2233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3A3534">
              <w:rPr>
                <w:sz w:val="20"/>
                <w:szCs w:val="20"/>
              </w:rPr>
              <w:t xml:space="preserve">Ensure that the </w:t>
            </w:r>
            <w:r>
              <w:rPr>
                <w:sz w:val="20"/>
                <w:szCs w:val="20"/>
              </w:rPr>
              <w:t>individual</w:t>
            </w:r>
            <w:r w:rsidRPr="003A3534">
              <w:rPr>
                <w:sz w:val="20"/>
                <w:szCs w:val="20"/>
              </w:rPr>
              <w:t xml:space="preserve"> has all necessary information and/or medications prior to leaving the facility. </w:t>
            </w:r>
          </w:p>
          <w:p w14:paraId="1D50F9BB" w14:textId="19C58B01" w:rsidR="00B22330" w:rsidRPr="003A3534" w:rsidRDefault="00B22330" w:rsidP="00B2233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3A3534">
              <w:rPr>
                <w:sz w:val="20"/>
                <w:szCs w:val="20"/>
              </w:rPr>
              <w:t>Document all outcomes of the treatment, including any adverse events</w:t>
            </w:r>
            <w:r>
              <w:rPr>
                <w:sz w:val="20"/>
                <w:szCs w:val="20"/>
              </w:rPr>
              <w:t>.</w:t>
            </w:r>
          </w:p>
        </w:tc>
      </w:tr>
      <w:tr w:rsidR="00B22330" w:rsidRPr="001904F0" w14:paraId="42A30C5A" w14:textId="77777777" w:rsidTr="00B22330">
        <w:tc>
          <w:tcPr>
            <w:cnfStyle w:val="001000000000" w:firstRow="0" w:lastRow="0" w:firstColumn="1" w:lastColumn="0" w:oddVBand="0" w:evenVBand="0" w:oddHBand="0" w:evenHBand="0" w:firstRowFirstColumn="0" w:firstRowLastColumn="0" w:lastRowFirstColumn="0" w:lastRowLastColumn="0"/>
            <w:tcW w:w="1896" w:type="dxa"/>
            <w:gridSpan w:val="2"/>
          </w:tcPr>
          <w:p w14:paraId="1A6CA54C" w14:textId="6CA2747D" w:rsidR="00B22330" w:rsidRPr="004E7D61" w:rsidRDefault="00B22330" w:rsidP="00B22330">
            <w:pPr>
              <w:rPr>
                <w:rFonts w:cstheme="minorHAnsi"/>
                <w:sz w:val="20"/>
                <w:szCs w:val="20"/>
              </w:rPr>
            </w:pPr>
            <w:r>
              <w:rPr>
                <w:rFonts w:cstheme="minorHAnsi"/>
                <w:sz w:val="20"/>
                <w:szCs w:val="20"/>
              </w:rPr>
              <w:t>Note</w:t>
            </w:r>
          </w:p>
        </w:tc>
        <w:tc>
          <w:tcPr>
            <w:tcW w:w="7454" w:type="dxa"/>
            <w:gridSpan w:val="5"/>
          </w:tcPr>
          <w:p w14:paraId="3678FE1A" w14:textId="3EF4DB7D" w:rsidR="00B22330" w:rsidRPr="001454A6" w:rsidRDefault="00B22330" w:rsidP="00B2233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1454A6">
              <w:rPr>
                <w:sz w:val="20"/>
                <w:szCs w:val="20"/>
              </w:rPr>
              <w:t>Fever or chills can be a frequent side-effect of repeated doses of misoprostol; administration of paraceta</w:t>
            </w:r>
            <w:r>
              <w:rPr>
                <w:sz w:val="20"/>
                <w:szCs w:val="20"/>
              </w:rPr>
              <w:t>mol or ibuprofen will decrease an individual</w:t>
            </w:r>
            <w:r w:rsidRPr="001454A6">
              <w:rPr>
                <w:sz w:val="20"/>
                <w:szCs w:val="20"/>
              </w:rPr>
              <w:t xml:space="preserve">’s discomfort. Fever that persists for hours after the last dose of misoprostol should be evaluated. </w:t>
            </w:r>
          </w:p>
          <w:p w14:paraId="4F8BD624" w14:textId="61012313" w:rsidR="00B22330" w:rsidRPr="00C461CA" w:rsidRDefault="00B22330" w:rsidP="00B2233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1454A6">
              <w:rPr>
                <w:sz w:val="20"/>
                <w:szCs w:val="20"/>
              </w:rPr>
              <w:t>Severe pain that persists should be evaluated to rule out uterine rupture, a rare complication</w:t>
            </w:r>
            <w:r>
              <w:rPr>
                <w:sz w:val="20"/>
                <w:szCs w:val="20"/>
              </w:rPr>
              <w:t>.</w:t>
            </w:r>
          </w:p>
        </w:tc>
      </w:tr>
    </w:tbl>
    <w:p w14:paraId="1BA0D597" w14:textId="77777777" w:rsidR="00D76A18" w:rsidRDefault="00D76A18" w:rsidP="00D76A18"/>
    <w:p w14:paraId="747B3DC2" w14:textId="645FC543" w:rsidR="00465261" w:rsidRPr="00A66892" w:rsidRDefault="00465261" w:rsidP="00465261">
      <w:pPr>
        <w:pStyle w:val="Heading2"/>
      </w:pPr>
      <w:bookmarkStart w:id="93" w:name="_Toc525688609"/>
      <w:bookmarkStart w:id="94" w:name="_Toc8387210"/>
      <w:r w:rsidRPr="00A66892">
        <w:t xml:space="preserve">Surgical </w:t>
      </w:r>
      <w:r>
        <w:t>t</w:t>
      </w:r>
      <w:r w:rsidRPr="00A66892">
        <w:t xml:space="preserve">ermination of </w:t>
      </w:r>
      <w:r>
        <w:t>p</w:t>
      </w:r>
      <w:r w:rsidRPr="00A66892">
        <w:t>regnancy</w:t>
      </w:r>
      <w:bookmarkEnd w:id="93"/>
      <w:bookmarkEnd w:id="94"/>
      <w:r w:rsidRPr="00A66892">
        <w:t xml:space="preserve"> </w:t>
      </w:r>
    </w:p>
    <w:p w14:paraId="7588BE2C" w14:textId="77777777" w:rsidR="00465261" w:rsidRDefault="00465261" w:rsidP="00465261"/>
    <w:p w14:paraId="36FD4113" w14:textId="32D945D0" w:rsidR="00465261" w:rsidRPr="003304DB" w:rsidRDefault="00465261" w:rsidP="00465261">
      <w:r>
        <w:lastRenderedPageBreak/>
        <w:t>Surgical TOP makes use of transcervical procedures for terminating pregnancy, including vacuum aspiration and dilatation and evacuation (D&amp;E).</w:t>
      </w:r>
    </w:p>
    <w:p w14:paraId="528B5D26" w14:textId="77777777" w:rsidR="00465261" w:rsidRDefault="00465261" w:rsidP="00465261">
      <w:bookmarkStart w:id="95" w:name="_Toc525688610"/>
    </w:p>
    <w:p w14:paraId="2CB64AA6" w14:textId="6B766E03" w:rsidR="00465261" w:rsidRPr="00465261" w:rsidRDefault="00D427B1" w:rsidP="00465261">
      <w:pPr>
        <w:rPr>
          <w:b/>
        </w:rPr>
      </w:pPr>
      <w:r>
        <w:rPr>
          <w:b/>
        </w:rPr>
        <w:t>Clinical c</w:t>
      </w:r>
      <w:r w:rsidR="00465261" w:rsidRPr="00465261">
        <w:rPr>
          <w:b/>
        </w:rPr>
        <w:t>onsiderations</w:t>
      </w:r>
      <w:bookmarkEnd w:id="95"/>
    </w:p>
    <w:p w14:paraId="685A867D" w14:textId="19AE9B0A" w:rsidR="00465261" w:rsidRDefault="00465261" w:rsidP="00465261">
      <w:r>
        <w:t xml:space="preserve">Surgical TOP is a quick procedure that allows for verification of a complete TOP by </w:t>
      </w:r>
      <w:r w:rsidR="00DB0379">
        <w:t xml:space="preserve">evacuation </w:t>
      </w:r>
      <w:r>
        <w:t>of aspirated products of conception. The inspection of aspirated tissue following a surgical TOP procedure can nearly eliminate the risk of an ectopic pregnancy going undetected.</w:t>
      </w:r>
    </w:p>
    <w:p w14:paraId="73E64E7C" w14:textId="77777777" w:rsidR="00465261" w:rsidRDefault="00465261" w:rsidP="00465261"/>
    <w:p w14:paraId="6C74BE38" w14:textId="77777777" w:rsidR="00CD43BB" w:rsidRDefault="00465261" w:rsidP="00CD43BB">
      <w:pPr>
        <w:pStyle w:val="ListParagraph"/>
        <w:numPr>
          <w:ilvl w:val="0"/>
          <w:numId w:val="3"/>
        </w:numPr>
        <w:rPr>
          <w:lang w:val="en-ZA"/>
        </w:rPr>
      </w:pPr>
      <w:r w:rsidRPr="00504AC7">
        <w:rPr>
          <w:lang w:val="en-ZA"/>
        </w:rPr>
        <w:t>A surgical TOP may be necessary in the case where there are contraindications to medical TOP, or if there are constraints for th</w:t>
      </w:r>
      <w:r w:rsidR="00A24C9F">
        <w:rPr>
          <w:lang w:val="en-ZA"/>
        </w:rPr>
        <w:t>e timing of the TOP, or if the individual</w:t>
      </w:r>
      <w:r w:rsidRPr="00504AC7">
        <w:rPr>
          <w:lang w:val="en-ZA"/>
        </w:rPr>
        <w:t xml:space="preserve"> prefers it.</w:t>
      </w:r>
    </w:p>
    <w:p w14:paraId="4E9E274C" w14:textId="5A80EE84" w:rsidR="00465261" w:rsidRPr="00CD43BB" w:rsidRDefault="00465261" w:rsidP="00CD43BB">
      <w:pPr>
        <w:pStyle w:val="ListParagraph"/>
        <w:numPr>
          <w:ilvl w:val="0"/>
          <w:numId w:val="3"/>
        </w:numPr>
        <w:rPr>
          <w:lang w:val="en-ZA"/>
        </w:rPr>
      </w:pPr>
      <w:r w:rsidRPr="00CD43BB">
        <w:rPr>
          <w:lang w:val="en-ZA"/>
        </w:rPr>
        <w:t xml:space="preserve">All </w:t>
      </w:r>
      <w:r w:rsidR="00504AC7" w:rsidRPr="00CD43BB">
        <w:rPr>
          <w:lang w:val="en-ZA"/>
        </w:rPr>
        <w:t>individuals</w:t>
      </w:r>
      <w:r w:rsidRPr="00CD43BB">
        <w:rPr>
          <w:lang w:val="en-ZA"/>
        </w:rPr>
        <w:t xml:space="preserve"> having surgical </w:t>
      </w:r>
      <w:r w:rsidR="00504AC7" w:rsidRPr="00CD43BB">
        <w:rPr>
          <w:lang w:val="en-ZA"/>
        </w:rPr>
        <w:t>TOP</w:t>
      </w:r>
      <w:r w:rsidRPr="00CD43BB">
        <w:rPr>
          <w:lang w:val="en-ZA"/>
        </w:rPr>
        <w:t xml:space="preserve">, regardless of their risk of pelvic inflammatory infection, should receive appropriate prophylactic antibiotics pre- or peri-operatively. </w:t>
      </w:r>
      <w:r w:rsidR="00CD43BB">
        <w:t>Women with signs and symptoms of reproductive tract infections should receive treatment doses of antibiotics and the procedure can be performed without delay.</w:t>
      </w:r>
    </w:p>
    <w:p w14:paraId="24566B39" w14:textId="3A526F4C" w:rsidR="00465261" w:rsidRPr="00504AC7" w:rsidRDefault="00465261" w:rsidP="00504AC7">
      <w:pPr>
        <w:pStyle w:val="ListParagraph"/>
        <w:numPr>
          <w:ilvl w:val="0"/>
          <w:numId w:val="3"/>
        </w:numPr>
        <w:rPr>
          <w:lang w:val="en-ZA"/>
        </w:rPr>
      </w:pPr>
      <w:r w:rsidRPr="00504AC7">
        <w:rPr>
          <w:lang w:val="en-ZA"/>
        </w:rPr>
        <w:t xml:space="preserve">For surgical </w:t>
      </w:r>
      <w:r w:rsidR="00504AC7">
        <w:rPr>
          <w:lang w:val="en-ZA"/>
        </w:rPr>
        <w:t>TOP</w:t>
      </w:r>
      <w:r w:rsidR="00A24C9F">
        <w:rPr>
          <w:lang w:val="en-ZA"/>
        </w:rPr>
        <w:t xml:space="preserve">, individual can leave </w:t>
      </w:r>
      <w:r w:rsidR="00FF778E">
        <w:rPr>
          <w:lang w:val="en-ZA"/>
        </w:rPr>
        <w:t>the health</w:t>
      </w:r>
      <w:r w:rsidR="00764BE6">
        <w:rPr>
          <w:lang w:val="en-ZA"/>
        </w:rPr>
        <w:t xml:space="preserve"> care</w:t>
      </w:r>
      <w:r w:rsidRPr="00504AC7">
        <w:rPr>
          <w:lang w:val="en-ZA"/>
        </w:rPr>
        <w:t xml:space="preserve"> facility as soon as they feel able and their vital signs are normal.</w:t>
      </w:r>
    </w:p>
    <w:p w14:paraId="26138EDD" w14:textId="77777777" w:rsidR="00504AC7" w:rsidRDefault="00504AC7" w:rsidP="00465261"/>
    <w:p w14:paraId="225C30AB" w14:textId="774FE0DE" w:rsidR="00465261" w:rsidRPr="00504AC7" w:rsidRDefault="00465261" w:rsidP="00465261">
      <w:pPr>
        <w:rPr>
          <w:b/>
        </w:rPr>
      </w:pPr>
      <w:r w:rsidRPr="00504AC7">
        <w:rPr>
          <w:b/>
        </w:rPr>
        <w:t xml:space="preserve">Vacuum </w:t>
      </w:r>
      <w:r w:rsidR="0022131A">
        <w:rPr>
          <w:b/>
        </w:rPr>
        <w:t>a</w:t>
      </w:r>
      <w:r w:rsidRPr="00504AC7">
        <w:rPr>
          <w:b/>
        </w:rPr>
        <w:t>spiration (</w:t>
      </w:r>
      <w:r w:rsidRPr="00D21986">
        <w:rPr>
          <w:b/>
          <w:u w:val="single"/>
        </w:rPr>
        <w:t>&lt;</w:t>
      </w:r>
      <w:r w:rsidRPr="00504AC7">
        <w:rPr>
          <w:b/>
        </w:rPr>
        <w:t>14 weeks</w:t>
      </w:r>
      <w:r w:rsidR="00D21986">
        <w:rPr>
          <w:b/>
        </w:rPr>
        <w:t xml:space="preserve"> + 0 days</w:t>
      </w:r>
      <w:r w:rsidRPr="00504AC7">
        <w:rPr>
          <w:b/>
        </w:rPr>
        <w:t>)</w:t>
      </w:r>
    </w:p>
    <w:p w14:paraId="45C3C41F" w14:textId="6D8010F8" w:rsidR="00465261" w:rsidRDefault="00465261" w:rsidP="00465261">
      <w:r>
        <w:t xml:space="preserve">Vacuum aspiration is the recommended technique of surgical </w:t>
      </w:r>
      <w:r w:rsidR="00053893">
        <w:t>TOP</w:t>
      </w:r>
      <w:r>
        <w:t xml:space="preserve"> for pregnancies of up to </w:t>
      </w:r>
      <w:r w:rsidRPr="005C3B1A">
        <w:t>14 weeks</w:t>
      </w:r>
      <w:r w:rsidR="00461B28">
        <w:t xml:space="preserve"> + 0 days</w:t>
      </w:r>
      <w:r w:rsidRPr="005C3B1A">
        <w:t xml:space="preserve"> of</w:t>
      </w:r>
      <w:r>
        <w:t xml:space="preserve"> gestation. The procedure should not be completed by sharp curettage. Dilatation and sharp curettage (D&amp;C), is not recommended and if still practised, should be replaced by vacuum aspiration. </w:t>
      </w:r>
    </w:p>
    <w:p w14:paraId="1152EA41" w14:textId="34F18719" w:rsidR="008F3D3A" w:rsidRPr="0022131A" w:rsidRDefault="008F3D3A" w:rsidP="00465261">
      <w:pPr>
        <w:rPr>
          <w:szCs w:val="22"/>
        </w:rPr>
      </w:pPr>
    </w:p>
    <w:p w14:paraId="7DF955BC" w14:textId="77777777" w:rsidR="008F3D3A" w:rsidRPr="0022131A" w:rsidRDefault="008F3D3A" w:rsidP="0022131A">
      <w:pPr>
        <w:pStyle w:val="ListParagraph"/>
        <w:numPr>
          <w:ilvl w:val="0"/>
          <w:numId w:val="3"/>
        </w:numPr>
        <w:rPr>
          <w:lang w:val="en-ZA"/>
        </w:rPr>
      </w:pPr>
      <w:r w:rsidRPr="0022131A">
        <w:rPr>
          <w:b/>
          <w:lang w:val="en-ZA"/>
        </w:rPr>
        <w:t>Manual vacuum aspiration (MVA)</w:t>
      </w:r>
      <w:r w:rsidRPr="0022131A">
        <w:rPr>
          <w:lang w:val="en-ZA"/>
        </w:rPr>
        <w:t xml:space="preserve"> uses a hand-held aspirator to generate a vacuum. The aspirator is attached to cannulae ranging from 4 to 14 mm in diameter and can be used in multiple settings, including those without electricity.</w:t>
      </w:r>
    </w:p>
    <w:p w14:paraId="615B1930" w14:textId="77777777" w:rsidR="008F3D3A" w:rsidRPr="0022131A" w:rsidRDefault="008F3D3A" w:rsidP="0022131A">
      <w:pPr>
        <w:pStyle w:val="ListParagraph"/>
        <w:numPr>
          <w:ilvl w:val="0"/>
          <w:numId w:val="3"/>
        </w:numPr>
        <w:rPr>
          <w:lang w:val="en-ZA"/>
        </w:rPr>
      </w:pPr>
      <w:r w:rsidRPr="0022131A">
        <w:rPr>
          <w:b/>
          <w:lang w:val="en-ZA"/>
        </w:rPr>
        <w:t>Electric vacuum aspiration (EVA)</w:t>
      </w:r>
      <w:r w:rsidRPr="0022131A">
        <w:rPr>
          <w:lang w:val="en-ZA"/>
        </w:rPr>
        <w:t xml:space="preserve"> uses an electric pump to generate a vacuum and can accommodate cannulae up to 14–16mm in diameter, with larger-diameter tubing (for cannulae &gt;12 mm).</w:t>
      </w:r>
    </w:p>
    <w:p w14:paraId="354DCE25" w14:textId="77777777" w:rsidR="0022131A" w:rsidRPr="0022131A" w:rsidRDefault="0022131A" w:rsidP="008F3D3A">
      <w:pPr>
        <w:rPr>
          <w:szCs w:val="22"/>
        </w:rPr>
      </w:pPr>
    </w:p>
    <w:p w14:paraId="30D88880" w14:textId="59205786" w:rsidR="008F3D3A" w:rsidRPr="0022131A" w:rsidRDefault="008F3D3A" w:rsidP="008F3D3A">
      <w:pPr>
        <w:rPr>
          <w:szCs w:val="22"/>
        </w:rPr>
      </w:pPr>
      <w:r w:rsidRPr="0022131A">
        <w:rPr>
          <w:szCs w:val="22"/>
        </w:rPr>
        <w:t>The TOP procedure is performed similarly, regardless of the type of vacuum used</w:t>
      </w:r>
      <w:r w:rsidR="0022131A" w:rsidRPr="0022131A">
        <w:rPr>
          <w:szCs w:val="22"/>
        </w:rPr>
        <w:t xml:space="preserve">. </w:t>
      </w:r>
      <w:r w:rsidR="006E438F">
        <w:rPr>
          <w:szCs w:val="22"/>
        </w:rPr>
        <w:fldChar w:fldCharType="begin"/>
      </w:r>
      <w:r w:rsidR="006E438F">
        <w:rPr>
          <w:szCs w:val="22"/>
        </w:rPr>
        <w:instrText xml:space="preserve"> REF _Ref531346138 \h </w:instrText>
      </w:r>
      <w:r w:rsidR="006E438F">
        <w:rPr>
          <w:szCs w:val="22"/>
        </w:rPr>
      </w:r>
      <w:r w:rsidR="006E438F">
        <w:rPr>
          <w:szCs w:val="22"/>
        </w:rPr>
        <w:fldChar w:fldCharType="separate"/>
      </w:r>
      <w:r w:rsidR="006E438F">
        <w:t xml:space="preserve">Table </w:t>
      </w:r>
      <w:r w:rsidR="006E438F">
        <w:rPr>
          <w:noProof/>
        </w:rPr>
        <w:t>8</w:t>
      </w:r>
      <w:r w:rsidR="006E438F">
        <w:rPr>
          <w:szCs w:val="22"/>
        </w:rPr>
        <w:fldChar w:fldCharType="end"/>
      </w:r>
      <w:r w:rsidR="0022131A" w:rsidRPr="0022131A">
        <w:rPr>
          <w:szCs w:val="22"/>
        </w:rPr>
        <w:t xml:space="preserve"> below details the protocol for vacuum aspiration.</w:t>
      </w:r>
    </w:p>
    <w:p w14:paraId="58E48CBF" w14:textId="77777777" w:rsidR="008F3D3A" w:rsidRDefault="008F3D3A" w:rsidP="00465261"/>
    <w:p w14:paraId="72A5DF89" w14:textId="406727A3" w:rsidR="0022131A" w:rsidRPr="00461B28" w:rsidRDefault="0022131A" w:rsidP="0022131A">
      <w:pPr>
        <w:pStyle w:val="Caption"/>
        <w:keepNext/>
        <w:rPr>
          <w:sz w:val="20"/>
        </w:rPr>
      </w:pPr>
      <w:bookmarkStart w:id="96" w:name="_Ref531346138"/>
      <w:bookmarkStart w:id="97" w:name="_Toc8387226"/>
      <w:r w:rsidRPr="00461B28">
        <w:rPr>
          <w:sz w:val="20"/>
        </w:rPr>
        <w:t xml:space="preserve">Table </w:t>
      </w:r>
      <w:r w:rsidRPr="00461B28">
        <w:rPr>
          <w:sz w:val="20"/>
        </w:rPr>
        <w:fldChar w:fldCharType="begin"/>
      </w:r>
      <w:r w:rsidRPr="00461B28">
        <w:rPr>
          <w:sz w:val="20"/>
        </w:rPr>
        <w:instrText xml:space="preserve"> SEQ Table \* ARABIC </w:instrText>
      </w:r>
      <w:r w:rsidRPr="00461B28">
        <w:rPr>
          <w:sz w:val="20"/>
        </w:rPr>
        <w:fldChar w:fldCharType="separate"/>
      </w:r>
      <w:r w:rsidR="00183285" w:rsidRPr="00461B28">
        <w:rPr>
          <w:noProof/>
          <w:sz w:val="20"/>
        </w:rPr>
        <w:t>8</w:t>
      </w:r>
      <w:r w:rsidRPr="00461B28">
        <w:rPr>
          <w:sz w:val="20"/>
        </w:rPr>
        <w:fldChar w:fldCharType="end"/>
      </w:r>
      <w:bookmarkEnd w:id="96"/>
      <w:r w:rsidRPr="00461B28">
        <w:rPr>
          <w:sz w:val="20"/>
        </w:rPr>
        <w:t>. Vacuum aspiration protocol</w:t>
      </w:r>
      <w:r w:rsidR="00461B28">
        <w:rPr>
          <w:sz w:val="20"/>
        </w:rPr>
        <w:t xml:space="preserve">, recommended for </w:t>
      </w:r>
      <w:r w:rsidR="00461B28" w:rsidRPr="00461B28">
        <w:rPr>
          <w:sz w:val="20"/>
          <w:u w:val="single"/>
        </w:rPr>
        <w:t>&lt;</w:t>
      </w:r>
      <w:r w:rsidR="00524279" w:rsidRPr="00461B28">
        <w:rPr>
          <w:sz w:val="20"/>
        </w:rPr>
        <w:t>14 weeks</w:t>
      </w:r>
      <w:r w:rsidR="00461B28">
        <w:rPr>
          <w:sz w:val="20"/>
        </w:rPr>
        <w:t xml:space="preserve"> + 0 days</w:t>
      </w:r>
      <w:r w:rsidR="00524279" w:rsidRPr="00461B28">
        <w:rPr>
          <w:sz w:val="20"/>
        </w:rPr>
        <w:t xml:space="preserve"> gestation</w:t>
      </w:r>
      <w:bookmarkEnd w:id="97"/>
    </w:p>
    <w:tbl>
      <w:tblPr>
        <w:tblStyle w:val="GridTable4-Accent3"/>
        <w:tblW w:w="0" w:type="auto"/>
        <w:tblLook w:val="0480" w:firstRow="0" w:lastRow="0" w:firstColumn="1" w:lastColumn="0" w:noHBand="0" w:noVBand="1"/>
      </w:tblPr>
      <w:tblGrid>
        <w:gridCol w:w="1916"/>
        <w:gridCol w:w="7434"/>
      </w:tblGrid>
      <w:tr w:rsidR="008F3D3A" w:rsidRPr="00D0017F" w14:paraId="380D35A7" w14:textId="77777777" w:rsidTr="00B45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44639DC7" w14:textId="450A0402" w:rsidR="008F3D3A" w:rsidRPr="008F3D3A" w:rsidRDefault="008F3D3A" w:rsidP="00767623">
            <w:pPr>
              <w:rPr>
                <w:rFonts w:cstheme="minorHAnsi"/>
                <w:sz w:val="20"/>
                <w:szCs w:val="20"/>
              </w:rPr>
            </w:pPr>
            <w:r w:rsidRPr="008F3D3A">
              <w:rPr>
                <w:sz w:val="20"/>
              </w:rPr>
              <w:t>Prior to the start of the procedure</w:t>
            </w:r>
          </w:p>
        </w:tc>
        <w:tc>
          <w:tcPr>
            <w:tcW w:w="7434" w:type="dxa"/>
            <w:vAlign w:val="center"/>
          </w:tcPr>
          <w:p w14:paraId="288E247D" w14:textId="13B2C73F" w:rsidR="008F3D3A" w:rsidRPr="008F3D3A" w:rsidRDefault="008F3D3A"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F3D3A">
              <w:rPr>
                <w:sz w:val="20"/>
                <w:szCs w:val="20"/>
              </w:rPr>
              <w:t xml:space="preserve">Refer the </w:t>
            </w:r>
            <w:r w:rsidR="005B729E">
              <w:rPr>
                <w:sz w:val="20"/>
                <w:szCs w:val="20"/>
              </w:rPr>
              <w:t xml:space="preserve">individual </w:t>
            </w:r>
            <w:r w:rsidRPr="008F3D3A">
              <w:rPr>
                <w:sz w:val="20"/>
                <w:szCs w:val="20"/>
              </w:rPr>
              <w:t>to an appropriate facility, as needed, if conditions are detected that may cause or exacerbate complications</w:t>
            </w:r>
            <w:r w:rsidR="00FF70E7">
              <w:rPr>
                <w:sz w:val="20"/>
                <w:szCs w:val="20"/>
              </w:rPr>
              <w:t>.</w:t>
            </w:r>
          </w:p>
          <w:p w14:paraId="701A9949" w14:textId="4C92755B" w:rsidR="008F3D3A" w:rsidRPr="008F3D3A" w:rsidRDefault="008F3D3A"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F3D3A">
              <w:rPr>
                <w:sz w:val="20"/>
                <w:szCs w:val="20"/>
              </w:rPr>
              <w:t>Perform cervical preparation, if needed</w:t>
            </w:r>
            <w:r w:rsidR="00FF70E7">
              <w:rPr>
                <w:sz w:val="20"/>
                <w:szCs w:val="20"/>
              </w:rPr>
              <w:t>.</w:t>
            </w:r>
          </w:p>
          <w:p w14:paraId="47778978" w14:textId="29AD0A1D" w:rsidR="008F3D3A" w:rsidRPr="008F3D3A" w:rsidRDefault="008F3D3A"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F3D3A">
              <w:rPr>
                <w:sz w:val="20"/>
                <w:szCs w:val="20"/>
              </w:rPr>
              <w:t>Provide antibiotic prophylaxis to reduce post-procedure infection</w:t>
            </w:r>
            <w:r w:rsidR="00FF70E7">
              <w:rPr>
                <w:sz w:val="20"/>
                <w:szCs w:val="20"/>
              </w:rPr>
              <w:t>.</w:t>
            </w:r>
          </w:p>
          <w:p w14:paraId="4FE1957D" w14:textId="6E69BD25" w:rsidR="008F3D3A" w:rsidRPr="008F3D3A" w:rsidRDefault="005B729E"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Confirm that the individual</w:t>
            </w:r>
            <w:r w:rsidR="008F3D3A" w:rsidRPr="008F3D3A">
              <w:rPr>
                <w:sz w:val="20"/>
                <w:szCs w:val="20"/>
              </w:rPr>
              <w:t xml:space="preserve"> has received her pain medications</w:t>
            </w:r>
            <w:r w:rsidR="00FF70E7">
              <w:rPr>
                <w:sz w:val="20"/>
                <w:szCs w:val="20"/>
              </w:rPr>
              <w:t>.</w:t>
            </w:r>
          </w:p>
          <w:p w14:paraId="1C30AE89" w14:textId="181EB10E" w:rsidR="008F3D3A" w:rsidRPr="008F3D3A" w:rsidRDefault="008F3D3A"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F3D3A">
              <w:rPr>
                <w:sz w:val="20"/>
                <w:szCs w:val="20"/>
              </w:rPr>
              <w:t>Ensure that all necessary equipment is gathered and available for use</w:t>
            </w:r>
          </w:p>
          <w:p w14:paraId="12A4743F" w14:textId="77777777" w:rsidR="008F3D3A" w:rsidRPr="008F3D3A" w:rsidRDefault="008F3D3A"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F3D3A">
              <w:rPr>
                <w:sz w:val="20"/>
                <w:szCs w:val="20"/>
              </w:rPr>
              <w:t>If using MVA, make sure to check that:</w:t>
            </w:r>
          </w:p>
          <w:p w14:paraId="4A0C4A63" w14:textId="698A20A3" w:rsidR="008F3D3A" w:rsidRPr="008F3D3A" w:rsidRDefault="006D11EE" w:rsidP="008D431E">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t>
            </w:r>
            <w:r w:rsidR="008F3D3A" w:rsidRPr="008F3D3A">
              <w:rPr>
                <w:sz w:val="20"/>
                <w:szCs w:val="20"/>
              </w:rPr>
              <w:t>he aspirator holds a vacuum before starting the procedure</w:t>
            </w:r>
            <w:r w:rsidR="00FF70E7">
              <w:rPr>
                <w:sz w:val="20"/>
                <w:szCs w:val="20"/>
              </w:rPr>
              <w:t>.</w:t>
            </w:r>
          </w:p>
          <w:p w14:paraId="273504FD" w14:textId="7312F224" w:rsidR="008F3D3A" w:rsidRPr="006D11EE" w:rsidRDefault="006D11EE" w:rsidP="008D431E">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B</w:t>
            </w:r>
            <w:r w:rsidR="008F3D3A" w:rsidRPr="008F3D3A">
              <w:rPr>
                <w:sz w:val="20"/>
                <w:szCs w:val="20"/>
              </w:rPr>
              <w:t>ack-up aspirators are readily available, in case the first aspirator is faulty</w:t>
            </w:r>
            <w:r w:rsidR="00FF70E7">
              <w:rPr>
                <w:sz w:val="20"/>
                <w:szCs w:val="20"/>
              </w:rPr>
              <w:t>.</w:t>
            </w:r>
          </w:p>
        </w:tc>
      </w:tr>
      <w:tr w:rsidR="008F3D3A" w:rsidRPr="00D0017F" w14:paraId="2463016F" w14:textId="77777777" w:rsidTr="00B45991">
        <w:tc>
          <w:tcPr>
            <w:cnfStyle w:val="001000000000" w:firstRow="0" w:lastRow="0" w:firstColumn="1" w:lastColumn="0" w:oddVBand="0" w:evenVBand="0" w:oddHBand="0" w:evenHBand="0" w:firstRowFirstColumn="0" w:firstRowLastColumn="0" w:lastRowFirstColumn="0" w:lastRowLastColumn="0"/>
            <w:tcW w:w="1916" w:type="dxa"/>
          </w:tcPr>
          <w:p w14:paraId="044FC694" w14:textId="7F995763" w:rsidR="008F3D3A" w:rsidRPr="008F3D3A" w:rsidRDefault="008F3D3A" w:rsidP="00767623">
            <w:pPr>
              <w:rPr>
                <w:rFonts w:cstheme="minorHAnsi"/>
                <w:sz w:val="20"/>
                <w:szCs w:val="20"/>
              </w:rPr>
            </w:pPr>
            <w:r w:rsidRPr="008F3D3A">
              <w:rPr>
                <w:sz w:val="20"/>
              </w:rPr>
              <w:lastRenderedPageBreak/>
              <w:t>Cervical preparation</w:t>
            </w:r>
          </w:p>
        </w:tc>
        <w:tc>
          <w:tcPr>
            <w:tcW w:w="7434" w:type="dxa"/>
            <w:vAlign w:val="center"/>
          </w:tcPr>
          <w:p w14:paraId="2681B1D6" w14:textId="0D8EE83C" w:rsidR="008F3D3A" w:rsidRPr="008F3D3A" w:rsidRDefault="008F3D3A"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F3D3A">
              <w:rPr>
                <w:sz w:val="20"/>
                <w:szCs w:val="20"/>
              </w:rPr>
              <w:t>Cervical preparation is recommended for all women with a pregnancy o</w:t>
            </w:r>
            <w:r w:rsidR="00FF70E7">
              <w:rPr>
                <w:sz w:val="20"/>
                <w:szCs w:val="20"/>
              </w:rPr>
              <w:t xml:space="preserve">ver </w:t>
            </w:r>
            <w:r w:rsidR="002233F3">
              <w:rPr>
                <w:sz w:val="20"/>
                <w:szCs w:val="20"/>
              </w:rPr>
              <w:t>12</w:t>
            </w:r>
            <w:r w:rsidRPr="008F3D3A">
              <w:rPr>
                <w:sz w:val="20"/>
                <w:szCs w:val="20"/>
              </w:rPr>
              <w:t xml:space="preserve"> weeks</w:t>
            </w:r>
            <w:r w:rsidR="00FF70E7">
              <w:rPr>
                <w:sz w:val="20"/>
                <w:szCs w:val="20"/>
              </w:rPr>
              <w:t xml:space="preserve"> + 0 days</w:t>
            </w:r>
            <w:r w:rsidRPr="008F3D3A">
              <w:rPr>
                <w:sz w:val="20"/>
                <w:szCs w:val="20"/>
              </w:rPr>
              <w:t xml:space="preserve"> of gestation. However, its use </w:t>
            </w:r>
            <w:r w:rsidR="002233F3">
              <w:rPr>
                <w:sz w:val="20"/>
                <w:szCs w:val="20"/>
              </w:rPr>
              <w:t>should be</w:t>
            </w:r>
            <w:r w:rsidRPr="008F3D3A">
              <w:rPr>
                <w:sz w:val="20"/>
                <w:szCs w:val="20"/>
              </w:rPr>
              <w:t xml:space="preserve"> consider</w:t>
            </w:r>
            <w:r w:rsidR="002233F3">
              <w:rPr>
                <w:sz w:val="20"/>
                <w:szCs w:val="20"/>
              </w:rPr>
              <w:t>ed for women before 12</w:t>
            </w:r>
            <w:r w:rsidRPr="008F3D3A">
              <w:rPr>
                <w:sz w:val="20"/>
                <w:szCs w:val="20"/>
              </w:rPr>
              <w:t xml:space="preserve"> weeks</w:t>
            </w:r>
            <w:r w:rsidR="00FF70E7">
              <w:rPr>
                <w:sz w:val="20"/>
                <w:szCs w:val="20"/>
              </w:rPr>
              <w:t xml:space="preserve"> + 0 days</w:t>
            </w:r>
            <w:r w:rsidRPr="008F3D3A">
              <w:rPr>
                <w:sz w:val="20"/>
                <w:szCs w:val="20"/>
              </w:rPr>
              <w:t xml:space="preserve"> of </w:t>
            </w:r>
            <w:r w:rsidR="00FF70E7">
              <w:rPr>
                <w:sz w:val="20"/>
                <w:szCs w:val="20"/>
              </w:rPr>
              <w:t xml:space="preserve">gestation </w:t>
            </w:r>
            <w:r w:rsidRPr="008F3D3A">
              <w:rPr>
                <w:sz w:val="20"/>
                <w:szCs w:val="20"/>
              </w:rPr>
              <w:t>if there is a high risk for cervical injury or uterine perforation.</w:t>
            </w:r>
          </w:p>
          <w:p w14:paraId="58902001" w14:textId="5DF5D220" w:rsidR="008F3D3A" w:rsidRPr="008F3D3A" w:rsidRDefault="008F3D3A"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F3D3A">
              <w:rPr>
                <w:sz w:val="20"/>
                <w:szCs w:val="20"/>
              </w:rPr>
              <w:t xml:space="preserve">Any one of these methods of cervical preparation before surgical </w:t>
            </w:r>
            <w:r w:rsidR="00F81EE2">
              <w:rPr>
                <w:sz w:val="20"/>
                <w:szCs w:val="20"/>
              </w:rPr>
              <w:t>TOP</w:t>
            </w:r>
            <w:r w:rsidRPr="008F3D3A">
              <w:rPr>
                <w:sz w:val="20"/>
                <w:szCs w:val="20"/>
              </w:rPr>
              <w:t xml:space="preserve"> in the first trimester is recommended: </w:t>
            </w:r>
          </w:p>
          <w:p w14:paraId="2C28A839" w14:textId="638F6EE3" w:rsidR="008F3D3A" w:rsidRPr="008F3D3A" w:rsidRDefault="00B45991" w:rsidP="008D431E">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w:t>
            </w:r>
            <w:r w:rsidR="008F3D3A" w:rsidRPr="008F3D3A">
              <w:rPr>
                <w:sz w:val="20"/>
                <w:szCs w:val="20"/>
              </w:rPr>
              <w:t>ral mifepristone 200 mg (24 to 48 hours in advance)</w:t>
            </w:r>
            <w:r>
              <w:rPr>
                <w:sz w:val="20"/>
                <w:szCs w:val="20"/>
              </w:rPr>
              <w:t>; OR</w:t>
            </w:r>
          </w:p>
          <w:p w14:paraId="2ECA4EBA" w14:textId="6C6EB0ED" w:rsidR="008F3D3A" w:rsidRPr="008F3D3A" w:rsidRDefault="00B45991" w:rsidP="008D431E">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8F3D3A" w:rsidRPr="008F3D3A">
              <w:rPr>
                <w:sz w:val="20"/>
                <w:szCs w:val="20"/>
              </w:rPr>
              <w:t>isoprostol 400</w:t>
            </w:r>
            <w:r w:rsidR="0037738D">
              <w:rPr>
                <w:sz w:val="20"/>
                <w:szCs w:val="20"/>
              </w:rPr>
              <w:t> μg administered sublingually, 1</w:t>
            </w:r>
            <w:r w:rsidR="008F3D3A" w:rsidRPr="008F3D3A">
              <w:rPr>
                <w:sz w:val="20"/>
                <w:szCs w:val="20"/>
              </w:rPr>
              <w:t xml:space="preserve"> to 3 hours prior to the procedure</w:t>
            </w:r>
            <w:r>
              <w:rPr>
                <w:sz w:val="20"/>
                <w:szCs w:val="20"/>
              </w:rPr>
              <w:t>; OR</w:t>
            </w:r>
          </w:p>
          <w:p w14:paraId="223AFC01" w14:textId="4C9E9207" w:rsidR="008F3D3A" w:rsidRPr="008F3D3A" w:rsidRDefault="00B45991" w:rsidP="008D431E">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8F3D3A" w:rsidRPr="008F3D3A">
              <w:rPr>
                <w:sz w:val="20"/>
                <w:szCs w:val="20"/>
              </w:rPr>
              <w:t>isoprostol 400 μg administered vaginally</w:t>
            </w:r>
            <w:r w:rsidR="0037738D">
              <w:rPr>
                <w:sz w:val="20"/>
                <w:szCs w:val="20"/>
              </w:rPr>
              <w:t xml:space="preserve"> or buccally</w:t>
            </w:r>
            <w:r w:rsidR="008F3D3A" w:rsidRPr="008F3D3A">
              <w:rPr>
                <w:sz w:val="20"/>
                <w:szCs w:val="20"/>
              </w:rPr>
              <w:t xml:space="preserve"> 3 hours prior to the procedure</w:t>
            </w:r>
            <w:r>
              <w:rPr>
                <w:sz w:val="20"/>
                <w:szCs w:val="20"/>
              </w:rPr>
              <w:t>; OR</w:t>
            </w:r>
          </w:p>
          <w:p w14:paraId="0381C4AE" w14:textId="14D32B7C" w:rsidR="008F3D3A" w:rsidRPr="00F81EE2" w:rsidRDefault="0037738D" w:rsidP="008D431E">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Osmotic dilators</w:t>
            </w:r>
            <w:r w:rsidR="008F3D3A" w:rsidRPr="008F3D3A">
              <w:rPr>
                <w:sz w:val="20"/>
                <w:szCs w:val="20"/>
              </w:rPr>
              <w:t xml:space="preserve"> placed intracervically 6 to 24 hours prior to the procedure</w:t>
            </w:r>
            <w:r w:rsidR="00FF70E7">
              <w:rPr>
                <w:sz w:val="20"/>
                <w:szCs w:val="20"/>
              </w:rPr>
              <w:t>.</w:t>
            </w:r>
          </w:p>
        </w:tc>
      </w:tr>
      <w:tr w:rsidR="008F3D3A" w:rsidRPr="00D0017F" w14:paraId="44AACF86" w14:textId="77777777" w:rsidTr="00B45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67D9D349" w14:textId="7EB22EAB" w:rsidR="008F3D3A" w:rsidRPr="008F3D3A" w:rsidRDefault="008F3D3A" w:rsidP="00767623">
            <w:pPr>
              <w:rPr>
                <w:rFonts w:cstheme="minorHAnsi"/>
                <w:sz w:val="20"/>
                <w:szCs w:val="20"/>
              </w:rPr>
            </w:pPr>
            <w:r w:rsidRPr="008F3D3A">
              <w:rPr>
                <w:sz w:val="20"/>
              </w:rPr>
              <w:t>Prophylactic antibiotics</w:t>
            </w:r>
          </w:p>
        </w:tc>
        <w:tc>
          <w:tcPr>
            <w:tcW w:w="7434" w:type="dxa"/>
            <w:vAlign w:val="center"/>
          </w:tcPr>
          <w:p w14:paraId="129EB5C3" w14:textId="405C0494" w:rsidR="008F3D3A" w:rsidRPr="00F31DD3" w:rsidRDefault="008F3D3A" w:rsidP="008D431E">
            <w:pPr>
              <w:pStyle w:val="ListParagraph"/>
              <w:numPr>
                <w:ilvl w:val="0"/>
                <w:numId w:val="15"/>
              </w:numPr>
              <w:spacing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F31DD3">
              <w:rPr>
                <w:sz w:val="20"/>
                <w:szCs w:val="20"/>
              </w:rPr>
              <w:t>To reduce the risk of post-procedure infection, prophylactic antibiotics initiated pre</w:t>
            </w:r>
            <w:r w:rsidR="00FF70E7">
              <w:rPr>
                <w:sz w:val="20"/>
                <w:szCs w:val="20"/>
              </w:rPr>
              <w:t xml:space="preserve">- </w:t>
            </w:r>
            <w:r w:rsidRPr="00F31DD3">
              <w:rPr>
                <w:sz w:val="20"/>
                <w:szCs w:val="20"/>
              </w:rPr>
              <w:t>or peri</w:t>
            </w:r>
            <w:r w:rsidR="00FF70E7">
              <w:rPr>
                <w:sz w:val="20"/>
                <w:szCs w:val="20"/>
              </w:rPr>
              <w:t>-</w:t>
            </w:r>
            <w:r w:rsidRPr="00F31DD3">
              <w:rPr>
                <w:sz w:val="20"/>
                <w:szCs w:val="20"/>
              </w:rPr>
              <w:t xml:space="preserve">operatively are recommended: facilities offering surgical </w:t>
            </w:r>
            <w:r w:rsidR="00F31DD3">
              <w:rPr>
                <w:sz w:val="20"/>
                <w:szCs w:val="20"/>
              </w:rPr>
              <w:t>TOP</w:t>
            </w:r>
            <w:r w:rsidRPr="00F31DD3">
              <w:rPr>
                <w:sz w:val="20"/>
                <w:szCs w:val="20"/>
              </w:rPr>
              <w:t xml:space="preserve"> should make efforts to secure adequate antibiotic supplies</w:t>
            </w:r>
            <w:r w:rsidR="00FF70E7">
              <w:rPr>
                <w:sz w:val="20"/>
                <w:szCs w:val="20"/>
              </w:rPr>
              <w:t>.</w:t>
            </w:r>
          </w:p>
          <w:p w14:paraId="2A8B7F99" w14:textId="25286FC5" w:rsidR="008F3D3A" w:rsidRPr="00F31DD3" w:rsidRDefault="008F3D3A"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F31DD3">
              <w:rPr>
                <w:sz w:val="20"/>
                <w:szCs w:val="20"/>
              </w:rPr>
              <w:t xml:space="preserve">Antibiotics are not a prerequisite for </w:t>
            </w:r>
            <w:r w:rsidR="00F31DD3">
              <w:rPr>
                <w:sz w:val="20"/>
                <w:szCs w:val="20"/>
              </w:rPr>
              <w:t>TOP</w:t>
            </w:r>
            <w:r w:rsidR="00FF70E7">
              <w:rPr>
                <w:sz w:val="20"/>
                <w:szCs w:val="20"/>
              </w:rPr>
              <w:t>.</w:t>
            </w:r>
          </w:p>
        </w:tc>
      </w:tr>
    </w:tbl>
    <w:p w14:paraId="360E9EE8" w14:textId="77777777" w:rsidR="00B45991" w:rsidRDefault="00B45991" w:rsidP="00524279">
      <w:pPr>
        <w:rPr>
          <w:b/>
        </w:rPr>
      </w:pPr>
    </w:p>
    <w:p w14:paraId="4CC1E7D4" w14:textId="11A9AFB6" w:rsidR="00524279" w:rsidRPr="00524279" w:rsidRDefault="00524279" w:rsidP="00524279">
      <w:pPr>
        <w:rPr>
          <w:b/>
        </w:rPr>
      </w:pPr>
      <w:r w:rsidRPr="00524279">
        <w:rPr>
          <w:b/>
        </w:rPr>
        <w:t xml:space="preserve">Dilation </w:t>
      </w:r>
      <w:r w:rsidR="00D24696">
        <w:rPr>
          <w:b/>
        </w:rPr>
        <w:t>and e</w:t>
      </w:r>
      <w:r w:rsidRPr="00524279">
        <w:rPr>
          <w:b/>
        </w:rPr>
        <w:t>vacuation (</w:t>
      </w:r>
      <w:r w:rsidRPr="00A74CB1">
        <w:rPr>
          <w:b/>
          <w:u w:val="single"/>
        </w:rPr>
        <w:t>&gt;</w:t>
      </w:r>
      <w:r w:rsidRPr="00524279">
        <w:rPr>
          <w:b/>
        </w:rPr>
        <w:t>14 weeks</w:t>
      </w:r>
      <w:r w:rsidR="00A74CB1">
        <w:rPr>
          <w:b/>
        </w:rPr>
        <w:t xml:space="preserve"> + 1 day</w:t>
      </w:r>
      <w:r w:rsidRPr="00524279">
        <w:rPr>
          <w:b/>
        </w:rPr>
        <w:t>)</w:t>
      </w:r>
    </w:p>
    <w:p w14:paraId="45E790E6" w14:textId="4813227E" w:rsidR="00524279" w:rsidRDefault="00524279" w:rsidP="00524279">
      <w:r>
        <w:t xml:space="preserve">Dilatation and evacuation (D&amp;E) is the recommended surgical method for TOP for </w:t>
      </w:r>
      <w:r w:rsidRPr="005C3B1A">
        <w:t xml:space="preserve">gestation over </w:t>
      </w:r>
      <w:r w:rsidR="004505A2">
        <w:t xml:space="preserve">or equal to </w:t>
      </w:r>
      <w:r w:rsidRPr="005C3B1A">
        <w:t>14 weeks</w:t>
      </w:r>
      <w:r w:rsidR="004505A2">
        <w:t xml:space="preserve"> + 1 day</w:t>
      </w:r>
      <w:r w:rsidRPr="005C3B1A">
        <w:t>.</w:t>
      </w:r>
      <w:r>
        <w:t xml:space="preserve"> </w:t>
      </w:r>
    </w:p>
    <w:p w14:paraId="655AF6A0" w14:textId="77777777" w:rsidR="00B45991" w:rsidRDefault="00B45991" w:rsidP="00524279"/>
    <w:p w14:paraId="06812382" w14:textId="265B2C7F" w:rsidR="00D24696" w:rsidRPr="005C4B5A" w:rsidRDefault="00D24696" w:rsidP="00D24696">
      <w:pPr>
        <w:pStyle w:val="Caption"/>
        <w:keepNext/>
        <w:rPr>
          <w:sz w:val="20"/>
        </w:rPr>
      </w:pPr>
      <w:bookmarkStart w:id="98" w:name="_Toc8387227"/>
      <w:r w:rsidRPr="005C4B5A">
        <w:rPr>
          <w:sz w:val="20"/>
        </w:rPr>
        <w:t xml:space="preserve">Table </w:t>
      </w:r>
      <w:r w:rsidRPr="005C4B5A">
        <w:rPr>
          <w:sz w:val="20"/>
        </w:rPr>
        <w:fldChar w:fldCharType="begin"/>
      </w:r>
      <w:r w:rsidRPr="005C4B5A">
        <w:rPr>
          <w:sz w:val="20"/>
        </w:rPr>
        <w:instrText xml:space="preserve"> SEQ Table \* ARABIC </w:instrText>
      </w:r>
      <w:r w:rsidRPr="005C4B5A">
        <w:rPr>
          <w:sz w:val="20"/>
        </w:rPr>
        <w:fldChar w:fldCharType="separate"/>
      </w:r>
      <w:r w:rsidR="00183285" w:rsidRPr="005C4B5A">
        <w:rPr>
          <w:noProof/>
          <w:sz w:val="20"/>
        </w:rPr>
        <w:t>9</w:t>
      </w:r>
      <w:r w:rsidRPr="005C4B5A">
        <w:rPr>
          <w:sz w:val="20"/>
        </w:rPr>
        <w:fldChar w:fldCharType="end"/>
      </w:r>
      <w:r w:rsidRPr="005C4B5A">
        <w:rPr>
          <w:sz w:val="20"/>
        </w:rPr>
        <w:t xml:space="preserve">. Dilation and evacuation protocol, recommended for </w:t>
      </w:r>
      <w:r w:rsidRPr="005C4B5A">
        <w:rPr>
          <w:sz w:val="20"/>
          <w:u w:val="single"/>
        </w:rPr>
        <w:t>&gt;</w:t>
      </w:r>
      <w:r w:rsidRPr="005C4B5A">
        <w:rPr>
          <w:sz w:val="20"/>
        </w:rPr>
        <w:t>14 weeks</w:t>
      </w:r>
      <w:r w:rsidR="005C4B5A">
        <w:rPr>
          <w:sz w:val="20"/>
        </w:rPr>
        <w:t xml:space="preserve"> + 1 day</w:t>
      </w:r>
      <w:r w:rsidRPr="005C4B5A">
        <w:rPr>
          <w:sz w:val="20"/>
        </w:rPr>
        <w:t xml:space="preserve"> gestation</w:t>
      </w:r>
      <w:bookmarkEnd w:id="98"/>
    </w:p>
    <w:tbl>
      <w:tblPr>
        <w:tblStyle w:val="GridTable4-Accent3"/>
        <w:tblW w:w="0" w:type="auto"/>
        <w:tblLook w:val="0480" w:firstRow="0" w:lastRow="0" w:firstColumn="1" w:lastColumn="0" w:noHBand="0" w:noVBand="1"/>
      </w:tblPr>
      <w:tblGrid>
        <w:gridCol w:w="1916"/>
        <w:gridCol w:w="7434"/>
      </w:tblGrid>
      <w:tr w:rsidR="00B45991" w:rsidRPr="00D0017F" w14:paraId="6B2FDF0A" w14:textId="77777777" w:rsidTr="00767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1D06490E" w14:textId="77777777" w:rsidR="00B45991" w:rsidRPr="008F3D3A" w:rsidRDefault="00B45991" w:rsidP="00B45991">
            <w:pPr>
              <w:rPr>
                <w:rFonts w:cstheme="minorHAnsi"/>
                <w:sz w:val="20"/>
                <w:szCs w:val="20"/>
              </w:rPr>
            </w:pPr>
            <w:r w:rsidRPr="008F3D3A">
              <w:rPr>
                <w:sz w:val="20"/>
              </w:rPr>
              <w:t>Prior to the start of the procedure</w:t>
            </w:r>
          </w:p>
        </w:tc>
        <w:tc>
          <w:tcPr>
            <w:tcW w:w="7434" w:type="dxa"/>
            <w:vAlign w:val="center"/>
          </w:tcPr>
          <w:p w14:paraId="01ADA3C6" w14:textId="50A9C304" w:rsidR="00B45991" w:rsidRPr="00B45991" w:rsidRDefault="00B45991"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B45991">
              <w:rPr>
                <w:sz w:val="20"/>
                <w:szCs w:val="20"/>
              </w:rPr>
              <w:t>Perform cervical preparation</w:t>
            </w:r>
            <w:r w:rsidR="009C540D">
              <w:rPr>
                <w:sz w:val="20"/>
                <w:szCs w:val="20"/>
              </w:rPr>
              <w:t>.</w:t>
            </w:r>
            <w:r w:rsidRPr="00B45991">
              <w:rPr>
                <w:sz w:val="20"/>
                <w:szCs w:val="20"/>
              </w:rPr>
              <w:t xml:space="preserve"> </w:t>
            </w:r>
          </w:p>
          <w:p w14:paraId="7D709F65" w14:textId="1BAB5FE0" w:rsidR="00B45991" w:rsidRPr="00B45991" w:rsidRDefault="00B45991"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B45991">
              <w:rPr>
                <w:sz w:val="20"/>
                <w:szCs w:val="20"/>
              </w:rPr>
              <w:t>Provide antibiotic prophylaxis</w:t>
            </w:r>
            <w:r w:rsidR="009C540D">
              <w:rPr>
                <w:sz w:val="20"/>
                <w:szCs w:val="20"/>
              </w:rPr>
              <w:t>.</w:t>
            </w:r>
            <w:r w:rsidRPr="00B45991">
              <w:rPr>
                <w:sz w:val="20"/>
                <w:szCs w:val="20"/>
              </w:rPr>
              <w:t xml:space="preserve"> </w:t>
            </w:r>
          </w:p>
          <w:p w14:paraId="649FD5EF" w14:textId="7A743709" w:rsidR="00B45991" w:rsidRPr="00B45991" w:rsidRDefault="00B45991"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B45991">
              <w:rPr>
                <w:sz w:val="20"/>
                <w:szCs w:val="20"/>
              </w:rPr>
              <w:t xml:space="preserve">Confirm that the </w:t>
            </w:r>
            <w:r w:rsidR="009C540D">
              <w:rPr>
                <w:sz w:val="20"/>
                <w:szCs w:val="20"/>
              </w:rPr>
              <w:t>individual</w:t>
            </w:r>
            <w:r w:rsidRPr="00B45991">
              <w:rPr>
                <w:sz w:val="20"/>
                <w:szCs w:val="20"/>
              </w:rPr>
              <w:t xml:space="preserve"> has received her pain medications at the appropriate time</w:t>
            </w:r>
            <w:r w:rsidR="009C540D">
              <w:rPr>
                <w:sz w:val="20"/>
                <w:szCs w:val="20"/>
              </w:rPr>
              <w:t>.</w:t>
            </w:r>
          </w:p>
          <w:p w14:paraId="498AC18B" w14:textId="0B9095D8" w:rsidR="00B45991" w:rsidRPr="00B45991" w:rsidRDefault="00B45991"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B45991">
              <w:rPr>
                <w:sz w:val="20"/>
                <w:szCs w:val="20"/>
              </w:rPr>
              <w:t>Ensure that all necessary equipment is gathered and available for use</w:t>
            </w:r>
            <w:r w:rsidR="009C540D">
              <w:rPr>
                <w:sz w:val="20"/>
                <w:szCs w:val="20"/>
              </w:rPr>
              <w:t xml:space="preserve">. </w:t>
            </w:r>
          </w:p>
        </w:tc>
      </w:tr>
      <w:tr w:rsidR="00B45991" w:rsidRPr="00D0017F" w14:paraId="48150A7E" w14:textId="77777777" w:rsidTr="00767623">
        <w:tc>
          <w:tcPr>
            <w:cnfStyle w:val="001000000000" w:firstRow="0" w:lastRow="0" w:firstColumn="1" w:lastColumn="0" w:oddVBand="0" w:evenVBand="0" w:oddHBand="0" w:evenHBand="0" w:firstRowFirstColumn="0" w:firstRowLastColumn="0" w:lastRowFirstColumn="0" w:lastRowLastColumn="0"/>
            <w:tcW w:w="1916" w:type="dxa"/>
          </w:tcPr>
          <w:p w14:paraId="268C71E7" w14:textId="77777777" w:rsidR="00B45991" w:rsidRPr="008F3D3A" w:rsidRDefault="00B45991" w:rsidP="00B45991">
            <w:pPr>
              <w:rPr>
                <w:rFonts w:cstheme="minorHAnsi"/>
                <w:sz w:val="20"/>
                <w:szCs w:val="20"/>
              </w:rPr>
            </w:pPr>
            <w:r w:rsidRPr="008F3D3A">
              <w:rPr>
                <w:sz w:val="20"/>
              </w:rPr>
              <w:t>Cervical preparation</w:t>
            </w:r>
          </w:p>
        </w:tc>
        <w:tc>
          <w:tcPr>
            <w:tcW w:w="7434" w:type="dxa"/>
            <w:vAlign w:val="center"/>
          </w:tcPr>
          <w:p w14:paraId="6D3E3D2A" w14:textId="688842EF" w:rsidR="00B45991" w:rsidRPr="00B45991" w:rsidRDefault="009C540D"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individuals</w:t>
            </w:r>
            <w:r w:rsidR="00D37823">
              <w:rPr>
                <w:sz w:val="20"/>
                <w:szCs w:val="20"/>
              </w:rPr>
              <w:t xml:space="preserve"> undergoing D&amp;E with </w:t>
            </w:r>
            <w:r w:rsidR="00B45991" w:rsidRPr="00B45991">
              <w:rPr>
                <w:sz w:val="20"/>
                <w:szCs w:val="20"/>
              </w:rPr>
              <w:t xml:space="preserve">pregnancy </w:t>
            </w:r>
            <w:r w:rsidR="00D37823">
              <w:rPr>
                <w:sz w:val="20"/>
                <w:szCs w:val="20"/>
                <w:u w:val="single"/>
              </w:rPr>
              <w:t>&gt;</w:t>
            </w:r>
            <w:r w:rsidR="00B45991" w:rsidRPr="00B45991">
              <w:rPr>
                <w:sz w:val="20"/>
                <w:szCs w:val="20"/>
              </w:rPr>
              <w:t xml:space="preserve"> 14 weeks </w:t>
            </w:r>
            <w:r>
              <w:rPr>
                <w:sz w:val="20"/>
                <w:szCs w:val="20"/>
              </w:rPr>
              <w:t xml:space="preserve">+ 1 day </w:t>
            </w:r>
            <w:r w:rsidR="00B45991" w:rsidRPr="00B45991">
              <w:rPr>
                <w:sz w:val="20"/>
                <w:szCs w:val="20"/>
              </w:rPr>
              <w:t>of gestation should receive cervical preparation prior to the procedure</w:t>
            </w:r>
            <w:r>
              <w:rPr>
                <w:sz w:val="20"/>
                <w:szCs w:val="20"/>
              </w:rPr>
              <w:t>.</w:t>
            </w:r>
          </w:p>
          <w:p w14:paraId="07696461" w14:textId="35CB0658" w:rsidR="00B45991" w:rsidRPr="00B45991" w:rsidRDefault="00B45991"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B45991">
              <w:rPr>
                <w:sz w:val="20"/>
                <w:szCs w:val="20"/>
              </w:rPr>
              <w:t xml:space="preserve">Adequate cervical preparation decreases the morbidity associated with second-trimester surgical </w:t>
            </w:r>
            <w:r>
              <w:rPr>
                <w:sz w:val="20"/>
                <w:szCs w:val="20"/>
              </w:rPr>
              <w:t>TOP</w:t>
            </w:r>
            <w:r w:rsidRPr="00B45991">
              <w:rPr>
                <w:sz w:val="20"/>
                <w:szCs w:val="20"/>
              </w:rPr>
              <w:t>, including the risk of cervical injury, uterine perforation</w:t>
            </w:r>
            <w:r>
              <w:rPr>
                <w:sz w:val="20"/>
                <w:szCs w:val="20"/>
              </w:rPr>
              <w:t>,</w:t>
            </w:r>
            <w:r w:rsidRPr="00B45991">
              <w:rPr>
                <w:sz w:val="20"/>
                <w:szCs w:val="20"/>
              </w:rPr>
              <w:t xml:space="preserve"> and incomplete </w:t>
            </w:r>
            <w:r>
              <w:rPr>
                <w:sz w:val="20"/>
                <w:szCs w:val="20"/>
              </w:rPr>
              <w:t>TOP</w:t>
            </w:r>
            <w:r w:rsidR="00D37823">
              <w:rPr>
                <w:sz w:val="20"/>
                <w:szCs w:val="20"/>
              </w:rPr>
              <w:t>.</w:t>
            </w:r>
          </w:p>
          <w:p w14:paraId="713C840C" w14:textId="11F7AB14" w:rsidR="00B45991" w:rsidRPr="00B45991" w:rsidRDefault="00B45991"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B45991">
              <w:rPr>
                <w:sz w:val="20"/>
                <w:szCs w:val="20"/>
              </w:rPr>
              <w:t>The recommended methods of cervical preparation</w:t>
            </w:r>
            <w:r w:rsidR="00D37823">
              <w:rPr>
                <w:sz w:val="20"/>
                <w:szCs w:val="20"/>
              </w:rPr>
              <w:t>,</w:t>
            </w:r>
            <w:r w:rsidRPr="00B45991">
              <w:rPr>
                <w:sz w:val="20"/>
                <w:szCs w:val="20"/>
              </w:rPr>
              <w:t xml:space="preserve"> prior to D&amp;E</w:t>
            </w:r>
            <w:r w:rsidR="00D37823">
              <w:rPr>
                <w:sz w:val="20"/>
                <w:szCs w:val="20"/>
              </w:rPr>
              <w:t>,</w:t>
            </w:r>
            <w:r w:rsidRPr="00B45991">
              <w:rPr>
                <w:sz w:val="20"/>
                <w:szCs w:val="20"/>
              </w:rPr>
              <w:t xml:space="preserve"> </w:t>
            </w:r>
            <w:r w:rsidR="00D37823">
              <w:rPr>
                <w:sz w:val="20"/>
                <w:szCs w:val="20"/>
              </w:rPr>
              <w:t xml:space="preserve">with pregnancy   </w:t>
            </w:r>
            <w:r w:rsidR="00D37823" w:rsidRPr="00D37823">
              <w:rPr>
                <w:sz w:val="20"/>
                <w:szCs w:val="20"/>
                <w:u w:val="single"/>
              </w:rPr>
              <w:t>&gt;</w:t>
            </w:r>
            <w:r w:rsidR="00D37823">
              <w:rPr>
                <w:sz w:val="20"/>
                <w:szCs w:val="20"/>
              </w:rPr>
              <w:t xml:space="preserve"> 14 weeks + 1 day</w:t>
            </w:r>
            <w:r w:rsidRPr="00B45991">
              <w:rPr>
                <w:sz w:val="20"/>
                <w:szCs w:val="20"/>
              </w:rPr>
              <w:t xml:space="preserve"> of gestation</w:t>
            </w:r>
            <w:r w:rsidR="00D37823">
              <w:rPr>
                <w:sz w:val="20"/>
                <w:szCs w:val="20"/>
              </w:rPr>
              <w:t>,</w:t>
            </w:r>
            <w:r w:rsidRPr="00B45991">
              <w:rPr>
                <w:sz w:val="20"/>
                <w:szCs w:val="20"/>
              </w:rPr>
              <w:t xml:space="preserve"> are osmotic dilators or misoprostol. Suitable preparations include:</w:t>
            </w:r>
          </w:p>
          <w:p w14:paraId="39A2C402" w14:textId="0037FCA4" w:rsidR="00B45991" w:rsidRPr="00B45991" w:rsidRDefault="0037738D" w:rsidP="008D431E">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Osmotic dilators 6</w:t>
            </w:r>
            <w:r w:rsidR="00D37823">
              <w:rPr>
                <w:sz w:val="20"/>
                <w:szCs w:val="20"/>
              </w:rPr>
              <w:t xml:space="preserve"> to </w:t>
            </w:r>
            <w:r w:rsidR="00B45991" w:rsidRPr="00B45991">
              <w:rPr>
                <w:sz w:val="20"/>
                <w:szCs w:val="20"/>
              </w:rPr>
              <w:t>24 hours before the procedure. If the pregnancy is at less than 18 weeks</w:t>
            </w:r>
            <w:r w:rsidR="00D37823">
              <w:rPr>
                <w:sz w:val="20"/>
                <w:szCs w:val="20"/>
              </w:rPr>
              <w:t xml:space="preserve"> + 0 days</w:t>
            </w:r>
            <w:r w:rsidR="00B45991" w:rsidRPr="00B45991">
              <w:rPr>
                <w:sz w:val="20"/>
                <w:szCs w:val="20"/>
              </w:rPr>
              <w:t xml:space="preserve"> of gestation, osmotic dilat</w:t>
            </w:r>
            <w:r w:rsidR="00D37823">
              <w:rPr>
                <w:sz w:val="20"/>
                <w:szCs w:val="20"/>
              </w:rPr>
              <w:t xml:space="preserve">ors will be effective at just 3 to </w:t>
            </w:r>
            <w:r w:rsidR="00B45991" w:rsidRPr="00B45991">
              <w:rPr>
                <w:sz w:val="20"/>
                <w:szCs w:val="20"/>
              </w:rPr>
              <w:t>4 hours before the procedure</w:t>
            </w:r>
            <w:r w:rsidR="00B45991">
              <w:rPr>
                <w:sz w:val="20"/>
                <w:szCs w:val="20"/>
              </w:rPr>
              <w:t>; OR</w:t>
            </w:r>
          </w:p>
          <w:p w14:paraId="3446601C" w14:textId="12AC6C34" w:rsidR="00B45991" w:rsidRPr="00B45991" w:rsidRDefault="0037738D" w:rsidP="008D431E">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Mifepristone 200mg 24</w:t>
            </w:r>
            <w:r w:rsidR="00D37823">
              <w:rPr>
                <w:sz w:val="20"/>
                <w:szCs w:val="20"/>
              </w:rPr>
              <w:t xml:space="preserve"> to </w:t>
            </w:r>
            <w:r>
              <w:rPr>
                <w:sz w:val="20"/>
                <w:szCs w:val="20"/>
              </w:rPr>
              <w:t>48</w:t>
            </w:r>
            <w:r w:rsidR="00B45991" w:rsidRPr="00B45991">
              <w:rPr>
                <w:sz w:val="20"/>
                <w:szCs w:val="20"/>
              </w:rPr>
              <w:t xml:space="preserve"> hours before the procedure</w:t>
            </w:r>
            <w:r w:rsidR="00B45991">
              <w:rPr>
                <w:sz w:val="20"/>
                <w:szCs w:val="20"/>
              </w:rPr>
              <w:t>; OR</w:t>
            </w:r>
          </w:p>
          <w:p w14:paraId="3B1C4F25" w14:textId="7A5D21F6" w:rsidR="00B45991" w:rsidRPr="00B45991" w:rsidRDefault="00B45991" w:rsidP="008D431E">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20"/>
                <w:szCs w:val="20"/>
              </w:rPr>
            </w:pPr>
            <w:r w:rsidRPr="00B45991">
              <w:rPr>
                <w:sz w:val="20"/>
                <w:szCs w:val="20"/>
              </w:rPr>
              <w:t xml:space="preserve">Misoprostol 400 micrograms vaginally </w:t>
            </w:r>
            <w:r w:rsidR="0037738D">
              <w:rPr>
                <w:sz w:val="20"/>
                <w:szCs w:val="20"/>
              </w:rPr>
              <w:t xml:space="preserve">or buccally </w:t>
            </w:r>
            <w:r w:rsidRPr="00B45991">
              <w:rPr>
                <w:sz w:val="20"/>
                <w:szCs w:val="20"/>
              </w:rPr>
              <w:t>3 hours or sublingually 2 hours before the procedure</w:t>
            </w:r>
            <w:r>
              <w:rPr>
                <w:sz w:val="20"/>
                <w:szCs w:val="20"/>
              </w:rPr>
              <w:t>.</w:t>
            </w:r>
          </w:p>
        </w:tc>
      </w:tr>
    </w:tbl>
    <w:p w14:paraId="44C9974A" w14:textId="22AE149C" w:rsidR="00D76A18" w:rsidRDefault="00D76A18" w:rsidP="00D76A18"/>
    <w:p w14:paraId="59BC7F65" w14:textId="21AAD64D" w:rsidR="00207367" w:rsidRPr="00A66892" w:rsidRDefault="00207367" w:rsidP="00207367">
      <w:pPr>
        <w:pStyle w:val="Heading2"/>
      </w:pPr>
      <w:bookmarkStart w:id="99" w:name="_Toc525688611"/>
      <w:bookmarkStart w:id="100" w:name="_Toc8387211"/>
      <w:r w:rsidRPr="00A66892">
        <w:lastRenderedPageBreak/>
        <w:t>Post-</w:t>
      </w:r>
      <w:r>
        <w:t>TOP c</w:t>
      </w:r>
      <w:r w:rsidRPr="00A66892">
        <w:t>are</w:t>
      </w:r>
      <w:bookmarkEnd w:id="99"/>
      <w:bookmarkEnd w:id="100"/>
    </w:p>
    <w:p w14:paraId="2CADBCE7" w14:textId="77777777" w:rsidR="00207367" w:rsidRDefault="00207367" w:rsidP="00207367"/>
    <w:p w14:paraId="7E2B36E8" w14:textId="5C49883B" w:rsidR="00207367" w:rsidRDefault="00A028B0" w:rsidP="00207367">
      <w:r>
        <w:t>H</w:t>
      </w:r>
      <w:r w:rsidR="00764BE6">
        <w:t>ealth care</w:t>
      </w:r>
      <w:r w:rsidR="00207367">
        <w:t xml:space="preserve"> professionals involved in post-TOP care should ensure that the </w:t>
      </w:r>
      <w:r w:rsidR="00A5418C">
        <w:t>individual</w:t>
      </w:r>
      <w:r w:rsidR="00207367">
        <w:t xml:space="preserve"> leaves the TOP service knowing what to expect following the procedure</w:t>
      </w:r>
      <w:r w:rsidR="00A5418C">
        <w:t>,</w:t>
      </w:r>
      <w:r w:rsidR="00207367">
        <w:t xml:space="preserve"> and where to get help, if necessary. One of the most effective ways to reduce TOP-related mortality and morbidity is to provide high quality post-TOP care. Be</w:t>
      </w:r>
      <w:r w:rsidR="00A5418C">
        <w:t>fore leaving the facility, the individual</w:t>
      </w:r>
      <w:r w:rsidR="00207367">
        <w:t xml:space="preserve"> should receive instructions about how to care for themselves after they go home</w:t>
      </w:r>
      <w:r w:rsidR="00A5418C">
        <w:t xml:space="preserve">. This should include: </w:t>
      </w:r>
      <w:r w:rsidR="00207367">
        <w:t xml:space="preserve"> </w:t>
      </w:r>
    </w:p>
    <w:p w14:paraId="5AE6664E" w14:textId="65F55E6B" w:rsidR="00207367" w:rsidRPr="00207367" w:rsidRDefault="00207367" w:rsidP="00207367">
      <w:pPr>
        <w:pStyle w:val="ListParagraph"/>
        <w:numPr>
          <w:ilvl w:val="0"/>
          <w:numId w:val="3"/>
        </w:numPr>
        <w:rPr>
          <w:lang w:val="en-ZA"/>
        </w:rPr>
      </w:pPr>
      <w:r w:rsidRPr="00207367">
        <w:rPr>
          <w:lang w:val="en-ZA"/>
        </w:rPr>
        <w:t xml:space="preserve">How much bleeding </w:t>
      </w:r>
      <w:r w:rsidR="0037738D">
        <w:rPr>
          <w:lang w:val="en-ZA"/>
        </w:rPr>
        <w:t xml:space="preserve">and pain </w:t>
      </w:r>
      <w:r w:rsidRPr="00207367">
        <w:rPr>
          <w:lang w:val="en-ZA"/>
        </w:rPr>
        <w:t xml:space="preserve">to expect in the next few days and weeks </w:t>
      </w:r>
    </w:p>
    <w:p w14:paraId="53EF9A46" w14:textId="77777777" w:rsidR="00207367" w:rsidRPr="00207367" w:rsidRDefault="00207367" w:rsidP="00207367">
      <w:pPr>
        <w:pStyle w:val="ListParagraph"/>
        <w:numPr>
          <w:ilvl w:val="0"/>
          <w:numId w:val="3"/>
        </w:numPr>
        <w:rPr>
          <w:lang w:val="en-ZA"/>
        </w:rPr>
      </w:pPr>
      <w:r w:rsidRPr="00207367">
        <w:rPr>
          <w:lang w:val="en-ZA"/>
        </w:rPr>
        <w:t xml:space="preserve">How to recognize potential complications, including signs of ongoing pregnancy </w:t>
      </w:r>
    </w:p>
    <w:p w14:paraId="29FE4466" w14:textId="77777777" w:rsidR="00207367" w:rsidRPr="00207367" w:rsidRDefault="00207367" w:rsidP="00207367">
      <w:pPr>
        <w:pStyle w:val="ListParagraph"/>
        <w:numPr>
          <w:ilvl w:val="0"/>
          <w:numId w:val="3"/>
        </w:numPr>
        <w:rPr>
          <w:lang w:val="en-ZA"/>
        </w:rPr>
      </w:pPr>
      <w:r w:rsidRPr="00207367">
        <w:rPr>
          <w:lang w:val="en-ZA"/>
        </w:rPr>
        <w:t xml:space="preserve">When they can resume normal activities (including sexual intercourse) </w:t>
      </w:r>
    </w:p>
    <w:p w14:paraId="1A92D626" w14:textId="11341A9F" w:rsidR="00207367" w:rsidRDefault="00207367" w:rsidP="00207367">
      <w:pPr>
        <w:pStyle w:val="ListParagraph"/>
        <w:numPr>
          <w:ilvl w:val="0"/>
          <w:numId w:val="3"/>
        </w:numPr>
      </w:pPr>
      <w:r w:rsidRPr="00207367">
        <w:rPr>
          <w:lang w:val="en-ZA"/>
        </w:rPr>
        <w:t>How and where to</w:t>
      </w:r>
      <w:r>
        <w:t xml:space="preserve"> seek help if required</w:t>
      </w:r>
    </w:p>
    <w:p w14:paraId="16EE00E2" w14:textId="09692BDD" w:rsidR="0037738D" w:rsidRDefault="0037738D" w:rsidP="00207367">
      <w:pPr>
        <w:pStyle w:val="ListParagraph"/>
        <w:numPr>
          <w:ilvl w:val="0"/>
          <w:numId w:val="3"/>
        </w:numPr>
      </w:pPr>
      <w:r>
        <w:t xml:space="preserve">A urine pregnancy test can remain positive for several weeks after a TOP </w:t>
      </w:r>
    </w:p>
    <w:p w14:paraId="0E2E2229" w14:textId="77777777" w:rsidR="00207367" w:rsidRDefault="00207367" w:rsidP="00207367"/>
    <w:p w14:paraId="1AE134C5" w14:textId="77777777" w:rsidR="00207367" w:rsidRPr="00207367" w:rsidRDefault="00207367" w:rsidP="00207367">
      <w:pPr>
        <w:rPr>
          <w:b/>
        </w:rPr>
      </w:pPr>
      <w:bookmarkStart w:id="101" w:name="_Toc525688612"/>
      <w:r w:rsidRPr="00207367">
        <w:rPr>
          <w:b/>
        </w:rPr>
        <w:t>Contraception</w:t>
      </w:r>
      <w:bookmarkEnd w:id="101"/>
    </w:p>
    <w:p w14:paraId="4CB2340B" w14:textId="1B81A7EB" w:rsidR="00207367" w:rsidRDefault="00207367" w:rsidP="00207367">
      <w:r>
        <w:t>Be</w:t>
      </w:r>
      <w:r w:rsidR="000C135E">
        <w:t xml:space="preserve">fore leaving the </w:t>
      </w:r>
      <w:r w:rsidR="00764BE6">
        <w:t>health care</w:t>
      </w:r>
      <w:r w:rsidR="000C135E">
        <w:t xml:space="preserve"> facility, and as per the National Clinical </w:t>
      </w:r>
      <w:r w:rsidR="0021090A">
        <w:t>Guideline for Contraception</w:t>
      </w:r>
      <w:r w:rsidR="000C135E">
        <w:t xml:space="preserve"> (2019)</w:t>
      </w:r>
      <w:r>
        <w:t xml:space="preserve">, all </w:t>
      </w:r>
      <w:r w:rsidR="000C135E">
        <w:t>individual</w:t>
      </w:r>
      <w:r>
        <w:t xml:space="preserve"> should receive contraceptive information and if desired, the contraceptive method of their choice. If the chosen method is not available, they should be referred to a service where the method can be provided. </w:t>
      </w:r>
    </w:p>
    <w:p w14:paraId="016C2AAF" w14:textId="77777777" w:rsidR="000C135E" w:rsidRDefault="000C135E" w:rsidP="00207367"/>
    <w:p w14:paraId="6B8378F6" w14:textId="5E19089C" w:rsidR="00207367" w:rsidRDefault="00207367" w:rsidP="00207367">
      <w:r>
        <w:t xml:space="preserve">Generally, almost all methods of contraception can be initiated immediately following a surgical or medical TOP. </w:t>
      </w:r>
    </w:p>
    <w:p w14:paraId="0BEE72D1" w14:textId="77777777" w:rsidR="000C135E" w:rsidRDefault="000C135E" w:rsidP="00DA499E">
      <w:pPr>
        <w:pStyle w:val="Caption"/>
        <w:keepNext/>
      </w:pPr>
    </w:p>
    <w:p w14:paraId="6800E6BD" w14:textId="2DAE1F2B" w:rsidR="00DA499E" w:rsidRPr="000C135E" w:rsidRDefault="00DA499E" w:rsidP="00DA499E">
      <w:pPr>
        <w:pStyle w:val="Caption"/>
        <w:keepNext/>
        <w:rPr>
          <w:sz w:val="20"/>
        </w:rPr>
      </w:pPr>
      <w:bookmarkStart w:id="102" w:name="_Toc8387228"/>
      <w:r w:rsidRPr="000C135E">
        <w:rPr>
          <w:sz w:val="20"/>
        </w:rPr>
        <w:t xml:space="preserve">Table </w:t>
      </w:r>
      <w:r w:rsidRPr="000C135E">
        <w:rPr>
          <w:sz w:val="20"/>
        </w:rPr>
        <w:fldChar w:fldCharType="begin"/>
      </w:r>
      <w:r w:rsidRPr="000C135E">
        <w:rPr>
          <w:sz w:val="20"/>
        </w:rPr>
        <w:instrText xml:space="preserve"> SEQ Table \* ARABIC </w:instrText>
      </w:r>
      <w:r w:rsidRPr="000C135E">
        <w:rPr>
          <w:sz w:val="20"/>
        </w:rPr>
        <w:fldChar w:fldCharType="separate"/>
      </w:r>
      <w:r w:rsidR="00183285" w:rsidRPr="000C135E">
        <w:rPr>
          <w:noProof/>
          <w:sz w:val="20"/>
        </w:rPr>
        <w:t>10</w:t>
      </w:r>
      <w:r w:rsidRPr="000C135E">
        <w:rPr>
          <w:sz w:val="20"/>
        </w:rPr>
        <w:fldChar w:fldCharType="end"/>
      </w:r>
      <w:r w:rsidRPr="000C135E">
        <w:rPr>
          <w:sz w:val="20"/>
        </w:rPr>
        <w:t>. Contraceptive methods and medical eligibility after TOP</w:t>
      </w:r>
      <w:bookmarkEnd w:id="102"/>
    </w:p>
    <w:tbl>
      <w:tblPr>
        <w:tblStyle w:val="GridTable4-Accent3"/>
        <w:tblW w:w="0" w:type="auto"/>
        <w:tblLook w:val="04A0" w:firstRow="1" w:lastRow="0" w:firstColumn="1" w:lastColumn="0" w:noHBand="0" w:noVBand="1"/>
      </w:tblPr>
      <w:tblGrid>
        <w:gridCol w:w="2155"/>
        <w:gridCol w:w="7195"/>
      </w:tblGrid>
      <w:tr w:rsidR="00DA499E" w:rsidRPr="00054416" w14:paraId="1290C808" w14:textId="77777777" w:rsidTr="00054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C2E833C" w14:textId="0A8454E7" w:rsidR="00DA499E" w:rsidRPr="00054416" w:rsidRDefault="00DA499E" w:rsidP="00054416">
            <w:pPr>
              <w:jc w:val="center"/>
              <w:rPr>
                <w:bCs w:val="0"/>
                <w:sz w:val="20"/>
                <w:szCs w:val="20"/>
                <w:lang w:val="en-CA"/>
              </w:rPr>
            </w:pPr>
            <w:r w:rsidRPr="00054416">
              <w:rPr>
                <w:bCs w:val="0"/>
                <w:sz w:val="20"/>
                <w:szCs w:val="20"/>
                <w:lang w:val="en-CA"/>
              </w:rPr>
              <w:t>Method</w:t>
            </w:r>
          </w:p>
        </w:tc>
        <w:tc>
          <w:tcPr>
            <w:tcW w:w="7195" w:type="dxa"/>
          </w:tcPr>
          <w:p w14:paraId="2F6D638C" w14:textId="6EEAB269" w:rsidR="00DA499E" w:rsidRPr="00054416" w:rsidRDefault="00054416" w:rsidP="00054416">
            <w:pPr>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Pr>
                <w:sz w:val="20"/>
                <w:szCs w:val="20"/>
                <w:lang w:val="en-CA"/>
              </w:rPr>
              <w:t>When to start after TOP</w:t>
            </w:r>
          </w:p>
        </w:tc>
      </w:tr>
      <w:tr w:rsidR="00DA499E" w:rsidRPr="00DA499E" w14:paraId="383D7305" w14:textId="77777777" w:rsidTr="00054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79CFD10" w14:textId="3CCB5111" w:rsidR="00DA499E" w:rsidRPr="00DA499E" w:rsidRDefault="00DA499E" w:rsidP="00207367">
            <w:pPr>
              <w:rPr>
                <w:b w:val="0"/>
                <w:bCs w:val="0"/>
                <w:sz w:val="20"/>
                <w:szCs w:val="20"/>
                <w:lang w:val="en-CA"/>
              </w:rPr>
            </w:pPr>
            <w:r w:rsidRPr="00DA499E">
              <w:rPr>
                <w:sz w:val="20"/>
                <w:szCs w:val="20"/>
                <w:lang w:val="en-CA"/>
              </w:rPr>
              <w:t xml:space="preserve">Hormonal methods </w:t>
            </w:r>
            <w:r w:rsidRPr="00054416">
              <w:rPr>
                <w:b w:val="0"/>
                <w:sz w:val="20"/>
                <w:szCs w:val="20"/>
                <w:lang w:val="en-CA"/>
              </w:rPr>
              <w:t>(including pills, injections, implants, the patch</w:t>
            </w:r>
            <w:r w:rsidR="00054416">
              <w:rPr>
                <w:b w:val="0"/>
                <w:sz w:val="20"/>
                <w:szCs w:val="20"/>
                <w:lang w:val="en-CA"/>
              </w:rPr>
              <w:t>,</w:t>
            </w:r>
            <w:r w:rsidRPr="00054416">
              <w:rPr>
                <w:b w:val="0"/>
                <w:sz w:val="20"/>
                <w:szCs w:val="20"/>
                <w:lang w:val="en-CA"/>
              </w:rPr>
              <w:t xml:space="preserve"> and vaginal ring)</w:t>
            </w:r>
          </w:p>
        </w:tc>
        <w:tc>
          <w:tcPr>
            <w:tcW w:w="7195" w:type="dxa"/>
          </w:tcPr>
          <w:p w14:paraId="550A474F" w14:textId="74F466A5" w:rsidR="00DA499E" w:rsidRPr="00DA499E" w:rsidRDefault="00054416" w:rsidP="00DA499E">
            <w:pPr>
              <w:cnfStyle w:val="000000100000" w:firstRow="0" w:lastRow="0" w:firstColumn="0" w:lastColumn="0" w:oddVBand="0" w:evenVBand="0" w:oddHBand="1" w:evenHBand="0" w:firstRowFirstColumn="0" w:firstRowLastColumn="0" w:lastRowFirstColumn="0" w:lastRowLastColumn="0"/>
              <w:rPr>
                <w:sz w:val="20"/>
                <w:szCs w:val="20"/>
                <w:lang w:val="en-CA"/>
              </w:rPr>
            </w:pPr>
            <w:r>
              <w:rPr>
                <w:sz w:val="20"/>
                <w:szCs w:val="20"/>
                <w:lang w:val="en-CA"/>
              </w:rPr>
              <w:t>M</w:t>
            </w:r>
            <w:r w:rsidR="00DA499E" w:rsidRPr="00DA499E">
              <w:rPr>
                <w:sz w:val="20"/>
                <w:szCs w:val="20"/>
                <w:lang w:val="en-CA"/>
              </w:rPr>
              <w:t xml:space="preserve">ay be started immediately after any </w:t>
            </w:r>
            <w:r>
              <w:rPr>
                <w:sz w:val="20"/>
                <w:szCs w:val="20"/>
                <w:lang w:val="en-CA"/>
              </w:rPr>
              <w:t>TOP</w:t>
            </w:r>
            <w:r w:rsidR="00DA499E" w:rsidRPr="00DA499E">
              <w:rPr>
                <w:sz w:val="20"/>
                <w:szCs w:val="20"/>
                <w:lang w:val="en-CA"/>
              </w:rPr>
              <w:t>, including septic</w:t>
            </w:r>
            <w:r>
              <w:rPr>
                <w:sz w:val="20"/>
                <w:szCs w:val="20"/>
                <w:lang w:val="en-CA"/>
              </w:rPr>
              <w:t xml:space="preserve"> TOP.</w:t>
            </w:r>
            <w:r w:rsidR="007314F2">
              <w:rPr>
                <w:sz w:val="20"/>
                <w:szCs w:val="20"/>
                <w:lang w:val="en-CA"/>
              </w:rPr>
              <w:t xml:space="preserve"> To note, hormonal contraception methods can be started immediately after the first pill of the medical TOP. </w:t>
            </w:r>
          </w:p>
          <w:p w14:paraId="0CA5305F" w14:textId="77777777" w:rsidR="00DA499E" w:rsidRPr="00DA499E" w:rsidRDefault="00DA499E" w:rsidP="00207367">
            <w:pPr>
              <w:cnfStyle w:val="000000100000" w:firstRow="0" w:lastRow="0" w:firstColumn="0" w:lastColumn="0" w:oddVBand="0" w:evenVBand="0" w:oddHBand="1" w:evenHBand="0" w:firstRowFirstColumn="0" w:firstRowLastColumn="0" w:lastRowFirstColumn="0" w:lastRowLastColumn="0"/>
              <w:rPr>
                <w:b/>
                <w:bCs/>
                <w:sz w:val="20"/>
                <w:szCs w:val="20"/>
                <w:lang w:val="en-CA"/>
              </w:rPr>
            </w:pPr>
          </w:p>
        </w:tc>
      </w:tr>
      <w:tr w:rsidR="00DA499E" w:rsidRPr="00DA499E" w14:paraId="219C570C" w14:textId="77777777" w:rsidTr="00054416">
        <w:tc>
          <w:tcPr>
            <w:cnfStyle w:val="001000000000" w:firstRow="0" w:lastRow="0" w:firstColumn="1" w:lastColumn="0" w:oddVBand="0" w:evenVBand="0" w:oddHBand="0" w:evenHBand="0" w:firstRowFirstColumn="0" w:firstRowLastColumn="0" w:lastRowFirstColumn="0" w:lastRowLastColumn="0"/>
            <w:tcW w:w="2155" w:type="dxa"/>
          </w:tcPr>
          <w:p w14:paraId="28725DBC" w14:textId="4F12E324" w:rsidR="00DA499E" w:rsidRPr="00DA499E" w:rsidRDefault="00DA499E" w:rsidP="00207367">
            <w:pPr>
              <w:rPr>
                <w:b w:val="0"/>
                <w:bCs w:val="0"/>
                <w:sz w:val="20"/>
                <w:szCs w:val="20"/>
                <w:lang w:val="en-CA"/>
              </w:rPr>
            </w:pPr>
            <w:r w:rsidRPr="00DA499E">
              <w:rPr>
                <w:sz w:val="20"/>
                <w:szCs w:val="20"/>
                <w:lang w:val="en-CA"/>
              </w:rPr>
              <w:t>IUDs</w:t>
            </w:r>
          </w:p>
        </w:tc>
        <w:tc>
          <w:tcPr>
            <w:tcW w:w="7195" w:type="dxa"/>
          </w:tcPr>
          <w:p w14:paraId="497A75B3" w14:textId="4DF3C036" w:rsidR="009E3790" w:rsidRDefault="00533AC3" w:rsidP="00207367">
            <w:pPr>
              <w:cnfStyle w:val="000000000000" w:firstRow="0" w:lastRow="0" w:firstColumn="0" w:lastColumn="0" w:oddVBand="0" w:evenVBand="0" w:oddHBand="0" w:evenHBand="0" w:firstRowFirstColumn="0" w:firstRowLastColumn="0" w:lastRowFirstColumn="0" w:lastRowLastColumn="0"/>
              <w:rPr>
                <w:sz w:val="20"/>
                <w:szCs w:val="20"/>
                <w:lang w:val="en-CA"/>
              </w:rPr>
            </w:pPr>
            <w:r w:rsidRPr="00DA499E">
              <w:rPr>
                <w:sz w:val="20"/>
                <w:szCs w:val="20"/>
                <w:lang w:val="en-CA"/>
              </w:rPr>
              <w:t xml:space="preserve">IUDs may be inserted after a medical </w:t>
            </w:r>
            <w:r w:rsidR="00FF778E">
              <w:rPr>
                <w:sz w:val="20"/>
                <w:szCs w:val="20"/>
                <w:lang w:val="en-CA"/>
              </w:rPr>
              <w:t>TOP</w:t>
            </w:r>
            <w:r w:rsidR="00FF778E" w:rsidRPr="00DA499E">
              <w:rPr>
                <w:sz w:val="20"/>
                <w:szCs w:val="20"/>
                <w:lang w:val="en-CA"/>
              </w:rPr>
              <w:t xml:space="preserve"> </w:t>
            </w:r>
            <w:r w:rsidR="00FF778E">
              <w:rPr>
                <w:sz w:val="20"/>
                <w:szCs w:val="20"/>
                <w:lang w:val="en-CA"/>
              </w:rPr>
              <w:t>when</w:t>
            </w:r>
            <w:r w:rsidR="0037738D">
              <w:rPr>
                <w:sz w:val="20"/>
                <w:szCs w:val="20"/>
                <w:lang w:val="en-CA"/>
              </w:rPr>
              <w:t xml:space="preserve"> it is reasonably certain that the individual is no longer pregnant</w:t>
            </w:r>
            <w:r w:rsidR="007314F2">
              <w:rPr>
                <w:sz w:val="20"/>
                <w:szCs w:val="20"/>
                <w:lang w:val="en-CA"/>
              </w:rPr>
              <w:t>. It m</w:t>
            </w:r>
            <w:r w:rsidR="00DA499E" w:rsidRPr="00DA499E">
              <w:rPr>
                <w:sz w:val="20"/>
                <w:szCs w:val="20"/>
                <w:lang w:val="en-CA"/>
              </w:rPr>
              <w:t xml:space="preserve">ay be inserted immediately after first- or second-trimester surgical </w:t>
            </w:r>
            <w:r w:rsidR="00054416">
              <w:rPr>
                <w:sz w:val="20"/>
                <w:szCs w:val="20"/>
                <w:lang w:val="en-CA"/>
              </w:rPr>
              <w:t>TOP</w:t>
            </w:r>
            <w:r w:rsidR="009E3790">
              <w:rPr>
                <w:sz w:val="20"/>
                <w:szCs w:val="20"/>
                <w:lang w:val="en-CA"/>
              </w:rPr>
              <w:t xml:space="preserve">. </w:t>
            </w:r>
            <w:r w:rsidR="000C135E">
              <w:rPr>
                <w:sz w:val="20"/>
                <w:szCs w:val="20"/>
                <w:lang w:val="en-CA"/>
              </w:rPr>
              <w:t>H</w:t>
            </w:r>
            <w:r w:rsidR="00DA499E" w:rsidRPr="00DA499E">
              <w:rPr>
                <w:sz w:val="20"/>
                <w:szCs w:val="20"/>
                <w:lang w:val="en-CA"/>
              </w:rPr>
              <w:t xml:space="preserve">owever, the expulsion risk is slightly higher following second-trimester </w:t>
            </w:r>
            <w:r w:rsidR="00054416">
              <w:rPr>
                <w:sz w:val="20"/>
                <w:szCs w:val="20"/>
                <w:lang w:val="en-CA"/>
              </w:rPr>
              <w:t>TOP</w:t>
            </w:r>
            <w:r w:rsidR="00DA499E" w:rsidRPr="00DA499E">
              <w:rPr>
                <w:sz w:val="20"/>
                <w:szCs w:val="20"/>
                <w:lang w:val="en-CA"/>
              </w:rPr>
              <w:t xml:space="preserve"> than following first-trimester </w:t>
            </w:r>
            <w:r w:rsidR="00054416">
              <w:rPr>
                <w:sz w:val="20"/>
                <w:szCs w:val="20"/>
                <w:lang w:val="en-CA"/>
              </w:rPr>
              <w:t>TOP</w:t>
            </w:r>
            <w:r w:rsidR="00DA499E" w:rsidRPr="00DA499E">
              <w:rPr>
                <w:sz w:val="20"/>
                <w:szCs w:val="20"/>
                <w:lang w:val="en-CA"/>
              </w:rPr>
              <w:t xml:space="preserve">. </w:t>
            </w:r>
          </w:p>
          <w:p w14:paraId="40057690" w14:textId="77777777" w:rsidR="009E3790" w:rsidRDefault="009E3790" w:rsidP="00207367">
            <w:pPr>
              <w:cnfStyle w:val="000000000000" w:firstRow="0" w:lastRow="0" w:firstColumn="0" w:lastColumn="0" w:oddVBand="0" w:evenVBand="0" w:oddHBand="0" w:evenHBand="0" w:firstRowFirstColumn="0" w:firstRowLastColumn="0" w:lastRowFirstColumn="0" w:lastRowLastColumn="0"/>
              <w:rPr>
                <w:sz w:val="20"/>
                <w:szCs w:val="20"/>
                <w:lang w:val="en-CA"/>
              </w:rPr>
            </w:pPr>
          </w:p>
          <w:p w14:paraId="4682C3BF" w14:textId="7A0229AB" w:rsidR="00DA499E" w:rsidRPr="00054416" w:rsidRDefault="00DA499E" w:rsidP="00207367">
            <w:pPr>
              <w:cnfStyle w:val="000000000000" w:firstRow="0" w:lastRow="0" w:firstColumn="0" w:lastColumn="0" w:oddVBand="0" w:evenVBand="0" w:oddHBand="0" w:evenHBand="0" w:firstRowFirstColumn="0" w:firstRowLastColumn="0" w:lastRowFirstColumn="0" w:lastRowLastColumn="0"/>
              <w:rPr>
                <w:sz w:val="20"/>
                <w:szCs w:val="20"/>
                <w:lang w:val="en-CA"/>
              </w:rPr>
            </w:pPr>
            <w:r w:rsidRPr="00DA499E">
              <w:rPr>
                <w:sz w:val="20"/>
                <w:szCs w:val="20"/>
                <w:lang w:val="en-CA"/>
              </w:rPr>
              <w:t xml:space="preserve">An IUD </w:t>
            </w:r>
            <w:r w:rsidRPr="004D650A">
              <w:rPr>
                <w:sz w:val="20"/>
                <w:szCs w:val="20"/>
                <w:u w:val="single"/>
                <w:lang w:val="en-CA"/>
              </w:rPr>
              <w:t xml:space="preserve">should not </w:t>
            </w:r>
            <w:r w:rsidRPr="00DA499E">
              <w:rPr>
                <w:sz w:val="20"/>
                <w:szCs w:val="20"/>
                <w:lang w:val="en-CA"/>
              </w:rPr>
              <w:t xml:space="preserve">be inserted immediately after septic TOP. </w:t>
            </w:r>
          </w:p>
        </w:tc>
      </w:tr>
      <w:tr w:rsidR="00DA499E" w:rsidRPr="00DA499E" w14:paraId="20D69F30" w14:textId="77777777" w:rsidTr="00054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5C426FA" w14:textId="6D5530DF" w:rsidR="00DA499E" w:rsidRPr="00DA499E" w:rsidRDefault="00DA499E" w:rsidP="00207367">
            <w:pPr>
              <w:rPr>
                <w:b w:val="0"/>
                <w:bCs w:val="0"/>
                <w:sz w:val="20"/>
                <w:szCs w:val="20"/>
                <w:lang w:val="en-CA"/>
              </w:rPr>
            </w:pPr>
            <w:r w:rsidRPr="00DA499E">
              <w:rPr>
                <w:sz w:val="20"/>
                <w:szCs w:val="20"/>
                <w:lang w:val="en-CA"/>
              </w:rPr>
              <w:t>Condom</w:t>
            </w:r>
          </w:p>
        </w:tc>
        <w:tc>
          <w:tcPr>
            <w:tcW w:w="7195" w:type="dxa"/>
          </w:tcPr>
          <w:p w14:paraId="51180076" w14:textId="321C0EBD" w:rsidR="00DA499E" w:rsidRPr="00DA499E" w:rsidRDefault="00054416" w:rsidP="00207367">
            <w:pPr>
              <w:cnfStyle w:val="000000100000" w:firstRow="0" w:lastRow="0" w:firstColumn="0" w:lastColumn="0" w:oddVBand="0" w:evenVBand="0" w:oddHBand="1" w:evenHBand="0" w:firstRowFirstColumn="0" w:firstRowLastColumn="0" w:lastRowFirstColumn="0" w:lastRowLastColumn="0"/>
              <w:rPr>
                <w:b/>
                <w:bCs/>
                <w:sz w:val="20"/>
                <w:szCs w:val="20"/>
                <w:lang w:val="en-CA"/>
              </w:rPr>
            </w:pPr>
            <w:r>
              <w:rPr>
                <w:sz w:val="20"/>
                <w:szCs w:val="20"/>
                <w:lang w:val="en-CA"/>
              </w:rPr>
              <w:t>U</w:t>
            </w:r>
            <w:r w:rsidR="00DA499E" w:rsidRPr="00DA499E">
              <w:rPr>
                <w:sz w:val="20"/>
                <w:szCs w:val="20"/>
                <w:lang w:val="en-CA"/>
              </w:rPr>
              <w:t xml:space="preserve">se may start with the first act of sexual intercourse after </w:t>
            </w:r>
            <w:r>
              <w:rPr>
                <w:sz w:val="20"/>
                <w:szCs w:val="20"/>
                <w:lang w:val="en-CA"/>
              </w:rPr>
              <w:t>TOP</w:t>
            </w:r>
            <w:r w:rsidR="00DA499E" w:rsidRPr="00DA499E">
              <w:rPr>
                <w:sz w:val="20"/>
                <w:szCs w:val="20"/>
                <w:lang w:val="en-CA"/>
              </w:rPr>
              <w:t xml:space="preserve">, including septic </w:t>
            </w:r>
            <w:r>
              <w:rPr>
                <w:sz w:val="20"/>
                <w:szCs w:val="20"/>
                <w:lang w:val="en-CA"/>
              </w:rPr>
              <w:t>TOP.</w:t>
            </w:r>
          </w:p>
        </w:tc>
      </w:tr>
      <w:tr w:rsidR="00DA499E" w:rsidRPr="00DA499E" w14:paraId="1BC84BF8" w14:textId="77777777" w:rsidTr="00054416">
        <w:tc>
          <w:tcPr>
            <w:cnfStyle w:val="001000000000" w:firstRow="0" w:lastRow="0" w:firstColumn="1" w:lastColumn="0" w:oddVBand="0" w:evenVBand="0" w:oddHBand="0" w:evenHBand="0" w:firstRowFirstColumn="0" w:firstRowLastColumn="0" w:lastRowFirstColumn="0" w:lastRowLastColumn="0"/>
            <w:tcW w:w="2155" w:type="dxa"/>
          </w:tcPr>
          <w:p w14:paraId="64A5B2A0" w14:textId="486C6098" w:rsidR="00DA499E" w:rsidRPr="00DA499E" w:rsidRDefault="00DA499E" w:rsidP="00207367">
            <w:pPr>
              <w:rPr>
                <w:b w:val="0"/>
                <w:bCs w:val="0"/>
                <w:sz w:val="20"/>
                <w:szCs w:val="20"/>
                <w:lang w:val="en-CA"/>
              </w:rPr>
            </w:pPr>
            <w:r w:rsidRPr="00DA499E">
              <w:rPr>
                <w:sz w:val="20"/>
                <w:szCs w:val="20"/>
                <w:lang w:val="en-CA"/>
              </w:rPr>
              <w:t>Diaphragm or cervical cap</w:t>
            </w:r>
          </w:p>
        </w:tc>
        <w:tc>
          <w:tcPr>
            <w:tcW w:w="7195" w:type="dxa"/>
          </w:tcPr>
          <w:p w14:paraId="43C29B30" w14:textId="73B83202" w:rsidR="00DA499E" w:rsidRPr="00DA499E" w:rsidRDefault="00054416" w:rsidP="00207367">
            <w:pPr>
              <w:cnfStyle w:val="000000000000" w:firstRow="0" w:lastRow="0" w:firstColumn="0" w:lastColumn="0" w:oddVBand="0" w:evenVBand="0" w:oddHBand="0" w:evenHBand="0" w:firstRowFirstColumn="0" w:firstRowLastColumn="0" w:lastRowFirstColumn="0" w:lastRowLastColumn="0"/>
              <w:rPr>
                <w:b/>
                <w:bCs/>
                <w:sz w:val="20"/>
                <w:szCs w:val="20"/>
                <w:lang w:val="en-CA"/>
              </w:rPr>
            </w:pPr>
            <w:r>
              <w:rPr>
                <w:sz w:val="20"/>
                <w:szCs w:val="20"/>
                <w:lang w:val="en-CA"/>
              </w:rPr>
              <w:t>U</w:t>
            </w:r>
            <w:r w:rsidR="00DA499E" w:rsidRPr="00DA499E">
              <w:rPr>
                <w:sz w:val="20"/>
                <w:szCs w:val="20"/>
                <w:lang w:val="en-CA"/>
              </w:rPr>
              <w:t xml:space="preserve">se may start with the first act of sexual intercourse after </w:t>
            </w:r>
            <w:r>
              <w:rPr>
                <w:sz w:val="20"/>
                <w:szCs w:val="20"/>
                <w:lang w:val="en-CA"/>
              </w:rPr>
              <w:t>TOP</w:t>
            </w:r>
            <w:r w:rsidR="00DA499E" w:rsidRPr="00DA499E">
              <w:rPr>
                <w:sz w:val="20"/>
                <w:szCs w:val="20"/>
                <w:lang w:val="en-CA"/>
              </w:rPr>
              <w:t xml:space="preserve">, including septic </w:t>
            </w:r>
            <w:r>
              <w:rPr>
                <w:sz w:val="20"/>
                <w:szCs w:val="20"/>
                <w:lang w:val="en-CA"/>
              </w:rPr>
              <w:t>TOP</w:t>
            </w:r>
            <w:r w:rsidR="00DA499E" w:rsidRPr="00DA499E">
              <w:rPr>
                <w:sz w:val="20"/>
                <w:szCs w:val="20"/>
                <w:lang w:val="en-CA"/>
              </w:rPr>
              <w:t xml:space="preserve">. Use should be postponed for 6 weeks following </w:t>
            </w:r>
            <w:r>
              <w:rPr>
                <w:sz w:val="20"/>
                <w:szCs w:val="20"/>
                <w:lang w:val="en-CA"/>
              </w:rPr>
              <w:t>TOP</w:t>
            </w:r>
            <w:r w:rsidR="00DA499E" w:rsidRPr="00DA499E">
              <w:rPr>
                <w:sz w:val="20"/>
                <w:szCs w:val="20"/>
                <w:lang w:val="en-CA"/>
              </w:rPr>
              <w:t xml:space="preserve"> </w:t>
            </w:r>
            <w:r>
              <w:rPr>
                <w:sz w:val="20"/>
                <w:szCs w:val="20"/>
                <w:lang w:val="en-CA"/>
              </w:rPr>
              <w:t>&gt;</w:t>
            </w:r>
            <w:r w:rsidR="00DA499E" w:rsidRPr="00DA499E">
              <w:rPr>
                <w:sz w:val="20"/>
                <w:szCs w:val="20"/>
                <w:lang w:val="en-CA"/>
              </w:rPr>
              <w:t>14 weeks</w:t>
            </w:r>
            <w:r w:rsidR="00417039">
              <w:rPr>
                <w:sz w:val="20"/>
                <w:szCs w:val="20"/>
                <w:lang w:val="en-CA"/>
              </w:rPr>
              <w:t xml:space="preserve"> + 0 days</w:t>
            </w:r>
            <w:r w:rsidR="00DA499E" w:rsidRPr="00DA499E">
              <w:rPr>
                <w:sz w:val="20"/>
                <w:szCs w:val="20"/>
                <w:lang w:val="en-CA"/>
              </w:rPr>
              <w:t xml:space="preserve"> gestation</w:t>
            </w:r>
            <w:r>
              <w:rPr>
                <w:sz w:val="20"/>
                <w:szCs w:val="20"/>
                <w:lang w:val="en-CA"/>
              </w:rPr>
              <w:t>.</w:t>
            </w:r>
          </w:p>
        </w:tc>
      </w:tr>
      <w:tr w:rsidR="00DA499E" w:rsidRPr="00DA499E" w14:paraId="2E33A069" w14:textId="77777777" w:rsidTr="00054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E17202A" w14:textId="7BE0B94F" w:rsidR="00DA499E" w:rsidRPr="00DA499E" w:rsidRDefault="00DA499E" w:rsidP="00207367">
            <w:pPr>
              <w:rPr>
                <w:b w:val="0"/>
                <w:bCs w:val="0"/>
                <w:sz w:val="20"/>
                <w:szCs w:val="20"/>
                <w:lang w:val="en-CA"/>
              </w:rPr>
            </w:pPr>
            <w:r w:rsidRPr="00DA499E">
              <w:rPr>
                <w:sz w:val="20"/>
                <w:szCs w:val="20"/>
                <w:lang w:val="en-CA"/>
              </w:rPr>
              <w:t>Fertility-awareness-based methods</w:t>
            </w:r>
          </w:p>
        </w:tc>
        <w:tc>
          <w:tcPr>
            <w:tcW w:w="7195" w:type="dxa"/>
          </w:tcPr>
          <w:p w14:paraId="0839D882" w14:textId="05533EB8" w:rsidR="00DA499E" w:rsidRPr="00DA499E" w:rsidRDefault="00054416" w:rsidP="00207367">
            <w:pPr>
              <w:cnfStyle w:val="000000100000" w:firstRow="0" w:lastRow="0" w:firstColumn="0" w:lastColumn="0" w:oddVBand="0" w:evenVBand="0" w:oddHBand="1" w:evenHBand="0" w:firstRowFirstColumn="0" w:firstRowLastColumn="0" w:lastRowFirstColumn="0" w:lastRowLastColumn="0"/>
              <w:rPr>
                <w:b/>
                <w:bCs/>
                <w:sz w:val="20"/>
                <w:szCs w:val="20"/>
                <w:lang w:val="en-CA"/>
              </w:rPr>
            </w:pPr>
            <w:r>
              <w:rPr>
                <w:sz w:val="20"/>
                <w:szCs w:val="20"/>
                <w:lang w:val="en-CA"/>
              </w:rPr>
              <w:t>S</w:t>
            </w:r>
            <w:r w:rsidR="00DA499E" w:rsidRPr="00DA499E">
              <w:rPr>
                <w:sz w:val="20"/>
                <w:szCs w:val="20"/>
                <w:lang w:val="en-CA"/>
              </w:rPr>
              <w:t>hould be delayed until regular menstrual cycles return</w:t>
            </w:r>
            <w:r>
              <w:rPr>
                <w:sz w:val="20"/>
                <w:szCs w:val="20"/>
                <w:lang w:val="en-CA"/>
              </w:rPr>
              <w:t>.</w:t>
            </w:r>
          </w:p>
        </w:tc>
      </w:tr>
      <w:tr w:rsidR="00DA499E" w:rsidRPr="00DA499E" w14:paraId="58BDCC15" w14:textId="77777777" w:rsidTr="00054416">
        <w:tc>
          <w:tcPr>
            <w:cnfStyle w:val="001000000000" w:firstRow="0" w:lastRow="0" w:firstColumn="1" w:lastColumn="0" w:oddVBand="0" w:evenVBand="0" w:oddHBand="0" w:evenHBand="0" w:firstRowFirstColumn="0" w:firstRowLastColumn="0" w:lastRowFirstColumn="0" w:lastRowLastColumn="0"/>
            <w:tcW w:w="2155" w:type="dxa"/>
          </w:tcPr>
          <w:p w14:paraId="0D9DA3EE" w14:textId="51762EAD" w:rsidR="00DA499E" w:rsidRPr="00DA499E" w:rsidRDefault="00054416" w:rsidP="00207367">
            <w:pPr>
              <w:rPr>
                <w:b w:val="0"/>
                <w:bCs w:val="0"/>
                <w:sz w:val="20"/>
                <w:szCs w:val="20"/>
                <w:lang w:val="en-CA"/>
              </w:rPr>
            </w:pPr>
            <w:r>
              <w:rPr>
                <w:sz w:val="20"/>
                <w:szCs w:val="20"/>
                <w:lang w:val="en-CA"/>
              </w:rPr>
              <w:lastRenderedPageBreak/>
              <w:t>S</w:t>
            </w:r>
            <w:r w:rsidR="00DA499E" w:rsidRPr="00DA499E">
              <w:rPr>
                <w:sz w:val="20"/>
                <w:szCs w:val="20"/>
                <w:lang w:val="en-CA"/>
              </w:rPr>
              <w:t>urgical sterilization</w:t>
            </w:r>
          </w:p>
        </w:tc>
        <w:tc>
          <w:tcPr>
            <w:tcW w:w="7195" w:type="dxa"/>
          </w:tcPr>
          <w:p w14:paraId="73A69562" w14:textId="7789D2EC" w:rsidR="00DA499E" w:rsidRPr="00054416" w:rsidRDefault="00054416" w:rsidP="00DA499E">
            <w:pPr>
              <w:cnfStyle w:val="000000000000" w:firstRow="0" w:lastRow="0" w:firstColumn="0" w:lastColumn="0" w:oddVBand="0" w:evenVBand="0" w:oddHBand="0" w:evenHBand="0" w:firstRowFirstColumn="0" w:firstRowLastColumn="0" w:lastRowFirstColumn="0" w:lastRowLastColumn="0"/>
              <w:rPr>
                <w:sz w:val="20"/>
                <w:szCs w:val="20"/>
                <w:lang w:val="en-CA"/>
              </w:rPr>
            </w:pPr>
            <w:r>
              <w:rPr>
                <w:sz w:val="20"/>
                <w:szCs w:val="20"/>
                <w:lang w:val="en-CA"/>
              </w:rPr>
              <w:t>For female - c</w:t>
            </w:r>
            <w:r w:rsidR="00DA499E" w:rsidRPr="00DA499E">
              <w:rPr>
                <w:sz w:val="20"/>
                <w:szCs w:val="20"/>
                <w:lang w:val="en-CA"/>
              </w:rPr>
              <w:t xml:space="preserve">an be performed immediately after uncomplicated </w:t>
            </w:r>
            <w:r>
              <w:rPr>
                <w:sz w:val="20"/>
                <w:szCs w:val="20"/>
                <w:lang w:val="en-CA"/>
              </w:rPr>
              <w:t>TOP</w:t>
            </w:r>
            <w:r w:rsidR="00DA499E" w:rsidRPr="00DA499E">
              <w:rPr>
                <w:sz w:val="20"/>
                <w:szCs w:val="20"/>
                <w:lang w:val="en-CA"/>
              </w:rPr>
              <w:t xml:space="preserve">. However, it should be delayed if </w:t>
            </w:r>
            <w:r>
              <w:rPr>
                <w:sz w:val="20"/>
                <w:szCs w:val="20"/>
                <w:lang w:val="en-CA"/>
              </w:rPr>
              <w:t>TOP</w:t>
            </w:r>
            <w:r w:rsidR="00DA499E" w:rsidRPr="00DA499E">
              <w:rPr>
                <w:sz w:val="20"/>
                <w:szCs w:val="20"/>
                <w:lang w:val="en-CA"/>
              </w:rPr>
              <w:t xml:space="preserve"> is complicated with infection, severe haemorrhage, trauma</w:t>
            </w:r>
            <w:r>
              <w:rPr>
                <w:sz w:val="20"/>
                <w:szCs w:val="20"/>
                <w:lang w:val="en-CA"/>
              </w:rPr>
              <w:t>,</w:t>
            </w:r>
            <w:r w:rsidR="000C135E">
              <w:rPr>
                <w:sz w:val="20"/>
                <w:szCs w:val="20"/>
                <w:lang w:val="en-CA"/>
              </w:rPr>
              <w:t xml:space="preserve"> or acute h</w:t>
            </w:r>
            <w:r w:rsidR="00DA499E" w:rsidRPr="00DA499E">
              <w:rPr>
                <w:sz w:val="20"/>
                <w:szCs w:val="20"/>
                <w:lang w:val="en-CA"/>
              </w:rPr>
              <w:t xml:space="preserve">ematometra. </w:t>
            </w:r>
            <w:r w:rsidR="00DA499E" w:rsidRPr="00054416">
              <w:rPr>
                <w:bCs/>
                <w:sz w:val="20"/>
                <w:szCs w:val="20"/>
                <w:lang w:val="en-CA"/>
              </w:rPr>
              <w:t>Vasectomy</w:t>
            </w:r>
            <w:r w:rsidR="00DA499E" w:rsidRPr="00DA499E">
              <w:rPr>
                <w:b/>
                <w:bCs/>
                <w:sz w:val="20"/>
                <w:szCs w:val="20"/>
                <w:lang w:val="en-CA"/>
              </w:rPr>
              <w:t xml:space="preserve"> </w:t>
            </w:r>
            <w:r w:rsidR="00DA499E" w:rsidRPr="00DA499E">
              <w:rPr>
                <w:sz w:val="20"/>
                <w:szCs w:val="20"/>
                <w:lang w:val="en-CA"/>
              </w:rPr>
              <w:t>can be performed at any time.</w:t>
            </w:r>
          </w:p>
        </w:tc>
      </w:tr>
      <w:tr w:rsidR="00DA499E" w:rsidRPr="00DA499E" w14:paraId="4F0582D9" w14:textId="77777777" w:rsidTr="00054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44B28A9" w14:textId="204D58A1" w:rsidR="00DA499E" w:rsidRPr="00DA499E" w:rsidRDefault="00DA499E" w:rsidP="00207367">
            <w:pPr>
              <w:rPr>
                <w:b w:val="0"/>
                <w:bCs w:val="0"/>
                <w:sz w:val="20"/>
                <w:szCs w:val="20"/>
                <w:lang w:val="en-CA"/>
              </w:rPr>
            </w:pPr>
            <w:r w:rsidRPr="00DA499E">
              <w:rPr>
                <w:sz w:val="20"/>
                <w:szCs w:val="20"/>
                <w:lang w:val="en-CA"/>
              </w:rPr>
              <w:t>Emergency contraception</w:t>
            </w:r>
          </w:p>
        </w:tc>
        <w:tc>
          <w:tcPr>
            <w:tcW w:w="7195" w:type="dxa"/>
          </w:tcPr>
          <w:p w14:paraId="52638581" w14:textId="47C2C1A4" w:rsidR="00DA499E" w:rsidRPr="00DA499E" w:rsidRDefault="00054416" w:rsidP="00207367">
            <w:pPr>
              <w:cnfStyle w:val="000000100000" w:firstRow="0" w:lastRow="0" w:firstColumn="0" w:lastColumn="0" w:oddVBand="0" w:evenVBand="0" w:oddHBand="1" w:evenHBand="0" w:firstRowFirstColumn="0" w:firstRowLastColumn="0" w:lastRowFirstColumn="0" w:lastRowLastColumn="0"/>
              <w:rPr>
                <w:b/>
                <w:bCs/>
                <w:sz w:val="20"/>
                <w:szCs w:val="20"/>
                <w:lang w:val="en-CA"/>
              </w:rPr>
            </w:pPr>
            <w:r>
              <w:rPr>
                <w:sz w:val="20"/>
                <w:szCs w:val="20"/>
                <w:lang w:val="en-CA"/>
              </w:rPr>
              <w:t>M</w:t>
            </w:r>
            <w:r w:rsidR="00DA499E" w:rsidRPr="00DA499E">
              <w:rPr>
                <w:sz w:val="20"/>
                <w:szCs w:val="20"/>
                <w:lang w:val="en-CA"/>
              </w:rPr>
              <w:t>ay use emer</w:t>
            </w:r>
            <w:r w:rsidR="00C87366">
              <w:rPr>
                <w:sz w:val="20"/>
                <w:szCs w:val="20"/>
                <w:lang w:val="en-CA"/>
              </w:rPr>
              <w:t xml:space="preserve">gency contraceptive pills or a copper </w:t>
            </w:r>
            <w:r w:rsidR="00DA499E" w:rsidRPr="00DA499E">
              <w:rPr>
                <w:sz w:val="20"/>
                <w:szCs w:val="20"/>
                <w:lang w:val="en-CA"/>
              </w:rPr>
              <w:t>IUD within 5 days (120 hours) of an act of unprotected sexual intercourse, to decrease pregnancy risk</w:t>
            </w:r>
            <w:r>
              <w:rPr>
                <w:sz w:val="20"/>
                <w:szCs w:val="20"/>
                <w:lang w:val="en-CA"/>
              </w:rPr>
              <w:t>.</w:t>
            </w:r>
          </w:p>
        </w:tc>
      </w:tr>
      <w:tr w:rsidR="00DA499E" w:rsidRPr="00DA499E" w14:paraId="5A3174BE" w14:textId="77777777" w:rsidTr="00054416">
        <w:tc>
          <w:tcPr>
            <w:cnfStyle w:val="001000000000" w:firstRow="0" w:lastRow="0" w:firstColumn="1" w:lastColumn="0" w:oddVBand="0" w:evenVBand="0" w:oddHBand="0" w:evenHBand="0" w:firstRowFirstColumn="0" w:firstRowLastColumn="0" w:lastRowFirstColumn="0" w:lastRowLastColumn="0"/>
            <w:tcW w:w="2155" w:type="dxa"/>
          </w:tcPr>
          <w:p w14:paraId="2CD177AE" w14:textId="32B37178" w:rsidR="00DA499E" w:rsidRPr="00DA499E" w:rsidRDefault="00DA499E" w:rsidP="00207367">
            <w:pPr>
              <w:rPr>
                <w:b w:val="0"/>
                <w:bCs w:val="0"/>
                <w:sz w:val="20"/>
                <w:szCs w:val="20"/>
                <w:lang w:val="en-CA"/>
              </w:rPr>
            </w:pPr>
            <w:r w:rsidRPr="00DA499E">
              <w:rPr>
                <w:sz w:val="20"/>
                <w:szCs w:val="20"/>
                <w:lang w:val="en-CA"/>
              </w:rPr>
              <w:t>Withdrawal</w:t>
            </w:r>
          </w:p>
        </w:tc>
        <w:tc>
          <w:tcPr>
            <w:tcW w:w="7195" w:type="dxa"/>
          </w:tcPr>
          <w:p w14:paraId="7AE910AB" w14:textId="11931598" w:rsidR="00DA499E" w:rsidRPr="00DA499E" w:rsidRDefault="00054416" w:rsidP="00DA499E">
            <w:pPr>
              <w:cnfStyle w:val="000000000000" w:firstRow="0" w:lastRow="0" w:firstColumn="0" w:lastColumn="0" w:oddVBand="0" w:evenVBand="0" w:oddHBand="0" w:evenHBand="0" w:firstRowFirstColumn="0" w:firstRowLastColumn="0" w:lastRowFirstColumn="0" w:lastRowLastColumn="0"/>
              <w:rPr>
                <w:sz w:val="20"/>
                <w:szCs w:val="20"/>
                <w:lang w:val="en-CA"/>
              </w:rPr>
            </w:pPr>
            <w:r>
              <w:rPr>
                <w:sz w:val="20"/>
                <w:szCs w:val="20"/>
                <w:lang w:val="en-CA"/>
              </w:rPr>
              <w:t>U</w:t>
            </w:r>
            <w:r w:rsidR="00DA499E" w:rsidRPr="00DA499E">
              <w:rPr>
                <w:sz w:val="20"/>
                <w:szCs w:val="20"/>
                <w:lang w:val="en-CA"/>
              </w:rPr>
              <w:t xml:space="preserve">se may start with the first act of sexual intercourse, after </w:t>
            </w:r>
            <w:r>
              <w:rPr>
                <w:sz w:val="20"/>
                <w:szCs w:val="20"/>
                <w:lang w:val="en-CA"/>
              </w:rPr>
              <w:t>TOP</w:t>
            </w:r>
            <w:r w:rsidR="00DA499E" w:rsidRPr="00DA499E">
              <w:rPr>
                <w:sz w:val="20"/>
                <w:szCs w:val="20"/>
                <w:lang w:val="en-CA"/>
              </w:rPr>
              <w:t xml:space="preserve">, including septic </w:t>
            </w:r>
            <w:r>
              <w:rPr>
                <w:sz w:val="20"/>
                <w:szCs w:val="20"/>
                <w:lang w:val="en-CA"/>
              </w:rPr>
              <w:t>TOP</w:t>
            </w:r>
            <w:r w:rsidR="00DA499E" w:rsidRPr="00DA499E">
              <w:rPr>
                <w:sz w:val="20"/>
                <w:szCs w:val="20"/>
                <w:lang w:val="en-CA"/>
              </w:rPr>
              <w:t xml:space="preserve">. </w:t>
            </w:r>
          </w:p>
        </w:tc>
      </w:tr>
    </w:tbl>
    <w:p w14:paraId="4BF86AB3" w14:textId="52B0145A" w:rsidR="00DA499E" w:rsidRDefault="00DA499E" w:rsidP="00207367">
      <w:pPr>
        <w:rPr>
          <w:b/>
          <w:bCs/>
          <w:lang w:val="en-CA"/>
        </w:rPr>
      </w:pPr>
    </w:p>
    <w:p w14:paraId="48099A02" w14:textId="08C25A94" w:rsidR="00054416" w:rsidRPr="00054416" w:rsidRDefault="00154494" w:rsidP="00207367">
      <w:pPr>
        <w:rPr>
          <w:b/>
          <w:bCs/>
          <w:szCs w:val="22"/>
          <w:lang w:val="en-CA"/>
        </w:rPr>
      </w:pPr>
      <w:bookmarkStart w:id="103" w:name="_Toc525688613"/>
      <w:r>
        <w:rPr>
          <w:b/>
          <w:szCs w:val="22"/>
        </w:rPr>
        <w:t>Management of p</w:t>
      </w:r>
      <w:r w:rsidR="00054416" w:rsidRPr="00054416">
        <w:rPr>
          <w:b/>
          <w:szCs w:val="22"/>
        </w:rPr>
        <w:t>ost-TOP complications</w:t>
      </w:r>
      <w:bookmarkEnd w:id="103"/>
    </w:p>
    <w:p w14:paraId="7B2DF422" w14:textId="137D94B6" w:rsidR="007D4163" w:rsidRDefault="006A2DC1" w:rsidP="00207367">
      <w:r>
        <w:rPr>
          <w:noProof/>
          <w:lang w:val="en-ZA" w:eastAsia="en-ZA"/>
        </w:rPr>
        <mc:AlternateContent>
          <mc:Choice Requires="wps">
            <w:drawing>
              <wp:anchor distT="0" distB="0" distL="114300" distR="114300" simplePos="0" relativeHeight="251684864" behindDoc="0" locked="0" layoutInCell="1" allowOverlap="1" wp14:anchorId="4FB3328F" wp14:editId="4C40A530">
                <wp:simplePos x="0" y="0"/>
                <wp:positionH relativeFrom="column">
                  <wp:posOffset>112395</wp:posOffset>
                </wp:positionH>
                <wp:positionV relativeFrom="paragraph">
                  <wp:posOffset>919480</wp:posOffset>
                </wp:positionV>
                <wp:extent cx="1828800" cy="1828800"/>
                <wp:effectExtent l="0" t="0" r="635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20000"/>
                            <a:lumOff val="80000"/>
                          </a:schemeClr>
                        </a:solidFill>
                        <a:ln w="6350">
                          <a:noFill/>
                        </a:ln>
                      </wps:spPr>
                      <wps:txbx>
                        <w:txbxContent>
                          <w:p w14:paraId="7DBD52EB" w14:textId="54DC1D6A" w:rsidR="003351E3" w:rsidRPr="007D4163" w:rsidRDefault="003351E3" w:rsidP="007D4163">
                            <w:pPr>
                              <w:jc w:val="center"/>
                              <w:rPr>
                                <w:b/>
                              </w:rPr>
                            </w:pPr>
                            <w:r>
                              <w:rPr>
                                <w:b/>
                              </w:rPr>
                              <w:t xml:space="preserve">It </w:t>
                            </w:r>
                            <w:r w:rsidRPr="007D4163">
                              <w:rPr>
                                <w:b/>
                              </w:rPr>
                              <w:t>is important that every service delivery site, at every level of the health system, should be equipped and have personnel trained to recognize TOP complications and to provide or refer individuals for prompt 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B3328F" id="Text Box 16" o:spid="_x0000_s1038" type="#_x0000_t202" style="position:absolute;margin-left:8.85pt;margin-top:72.4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" fillcolor="#e2efd9 [665]" stroked="f" strokeweight=".5pt">
                <v:textbox style="mso-fit-shape-to-text:t">
                  <w:txbxContent>
                    <w:p w14:paraId="7DBD52EB" w14:textId="54DC1D6A" w:rsidR="003351E3" w:rsidRPr="007D4163" w:rsidRDefault="003351E3" w:rsidP="007D4163">
                      <w:pPr>
                        <w:jc w:val="center"/>
                        <w:rPr>
                          <w:b/>
                        </w:rPr>
                      </w:pPr>
                      <w:r>
                        <w:rPr>
                          <w:b/>
                        </w:rPr>
                        <w:t xml:space="preserve">It </w:t>
                      </w:r>
                      <w:r w:rsidRPr="007D4163">
                        <w:rPr>
                          <w:b/>
                        </w:rPr>
                        <w:t>is important that every service delivery site, at every level of the health system, should be equipped and have personnel trained to recognize TOP complications and to provide or refer individuals for prompt care.</w:t>
                      </w:r>
                    </w:p>
                  </w:txbxContent>
                </v:textbox>
                <w10:wrap type="square"/>
              </v:shape>
            </w:pict>
          </mc:Fallback>
        </mc:AlternateContent>
      </w:r>
      <w:r w:rsidR="00207367">
        <w:t xml:space="preserve">Although complications from TOP are rare where performed by skilled personnel, </w:t>
      </w:r>
      <w:r w:rsidR="007D4163">
        <w:t xml:space="preserve">they still may occur, even when taking all the necessary precautions. Where TOP is obtained from unsafe providers or locations, complications are much more common and may need immediate emergency attention for life-threatening conditions. </w:t>
      </w:r>
    </w:p>
    <w:p w14:paraId="28CD90B4" w14:textId="7DFA6B03" w:rsidR="00154494" w:rsidRDefault="00154494" w:rsidP="00207367"/>
    <w:p w14:paraId="0C92B40A" w14:textId="6D4C8AA2" w:rsidR="00054416" w:rsidRDefault="009E31B4" w:rsidP="00207367">
      <w:r w:rsidRPr="00054416">
        <w:rPr>
          <w:lang w:val="en-ZA"/>
        </w:rPr>
        <w:t xml:space="preserve">In </w:t>
      </w:r>
      <w:r>
        <w:rPr>
          <w:lang w:val="en-ZA"/>
        </w:rPr>
        <w:t>providing</w:t>
      </w:r>
      <w:r w:rsidRPr="00054416">
        <w:rPr>
          <w:lang w:val="en-ZA"/>
        </w:rPr>
        <w:t xml:space="preserve"> </w:t>
      </w:r>
      <w:r>
        <w:rPr>
          <w:lang w:val="en-ZA"/>
        </w:rPr>
        <w:t xml:space="preserve">post-TOP </w:t>
      </w:r>
      <w:r w:rsidR="006A2DC1">
        <w:rPr>
          <w:lang w:val="en-ZA"/>
        </w:rPr>
        <w:t>care, it is important to:</w:t>
      </w:r>
    </w:p>
    <w:p w14:paraId="1195B6E7" w14:textId="14BB6EEB" w:rsidR="00207367" w:rsidRPr="00054416" w:rsidRDefault="009E31B4" w:rsidP="00054416">
      <w:pPr>
        <w:pStyle w:val="ListParagraph"/>
        <w:numPr>
          <w:ilvl w:val="0"/>
          <w:numId w:val="3"/>
        </w:numPr>
        <w:rPr>
          <w:lang w:val="en-ZA"/>
        </w:rPr>
      </w:pPr>
      <w:r>
        <w:rPr>
          <w:lang w:val="en-ZA"/>
        </w:rPr>
        <w:t>Demonstrate</w:t>
      </w:r>
      <w:r w:rsidR="00207367" w:rsidRPr="00054416">
        <w:rPr>
          <w:lang w:val="en-ZA"/>
        </w:rPr>
        <w:t xml:space="preserve"> empathy, understanding, compassion</w:t>
      </w:r>
      <w:r w:rsidR="00054416" w:rsidRPr="00054416">
        <w:rPr>
          <w:lang w:val="en-ZA"/>
        </w:rPr>
        <w:t>,</w:t>
      </w:r>
      <w:r w:rsidR="00207367" w:rsidRPr="00054416">
        <w:rPr>
          <w:lang w:val="en-ZA"/>
        </w:rPr>
        <w:t xml:space="preserve"> and counselling throughout </w:t>
      </w:r>
      <w:r w:rsidR="00054416" w:rsidRPr="00054416">
        <w:rPr>
          <w:lang w:val="en-ZA"/>
        </w:rPr>
        <w:t xml:space="preserve">an </w:t>
      </w:r>
      <w:r w:rsidR="00295E84" w:rsidRPr="00054416">
        <w:rPr>
          <w:lang w:val="en-ZA"/>
        </w:rPr>
        <w:t>individual’s</w:t>
      </w:r>
      <w:r w:rsidR="00207367" w:rsidRPr="00054416">
        <w:rPr>
          <w:lang w:val="en-ZA"/>
        </w:rPr>
        <w:t xml:space="preserve"> care. </w:t>
      </w:r>
    </w:p>
    <w:p w14:paraId="056B03B3" w14:textId="4E009E31" w:rsidR="00C76508" w:rsidRDefault="006A2DC1" w:rsidP="00054416">
      <w:pPr>
        <w:pStyle w:val="ListParagraph"/>
        <w:numPr>
          <w:ilvl w:val="0"/>
          <w:numId w:val="3"/>
        </w:numPr>
        <w:rPr>
          <w:lang w:val="en-ZA"/>
        </w:rPr>
      </w:pPr>
      <w:r>
        <w:rPr>
          <w:lang w:val="en-ZA"/>
        </w:rPr>
        <w:t>Manage the</w:t>
      </w:r>
      <w:r w:rsidR="007D4163">
        <w:rPr>
          <w:lang w:val="en-ZA"/>
        </w:rPr>
        <w:t xml:space="preserve"> immediate situation</w:t>
      </w:r>
      <w:r>
        <w:rPr>
          <w:lang w:val="en-ZA"/>
        </w:rPr>
        <w:t xml:space="preserve"> first -  </w:t>
      </w:r>
      <w:r w:rsidR="00BA13A2">
        <w:rPr>
          <w:lang w:val="en-ZA"/>
        </w:rPr>
        <w:t xml:space="preserve">deal with bleeding and shock, and then provide or refer individual for required care. </w:t>
      </w:r>
    </w:p>
    <w:p w14:paraId="4DD21740" w14:textId="205C805A" w:rsidR="00054416" w:rsidRDefault="00054416" w:rsidP="00207367"/>
    <w:p w14:paraId="2345FFE5" w14:textId="27DAE1FF" w:rsidR="00207367" w:rsidRPr="004D5281" w:rsidRDefault="0059674E" w:rsidP="0027670C">
      <w:pPr>
        <w:rPr>
          <w:b/>
          <w:i/>
        </w:rPr>
      </w:pPr>
      <w:r>
        <w:rPr>
          <w:b/>
          <w:i/>
        </w:rPr>
        <w:t>Management of i</w:t>
      </w:r>
      <w:r w:rsidR="00207367" w:rsidRPr="004D5281">
        <w:rPr>
          <w:b/>
          <w:i/>
        </w:rPr>
        <w:t>ncomplete TOP</w:t>
      </w:r>
    </w:p>
    <w:p w14:paraId="78372541" w14:textId="79DA6BE4" w:rsidR="003E1AAE" w:rsidRDefault="00467E5E" w:rsidP="00207367">
      <w:r>
        <w:t xml:space="preserve">Post-TOP care can reduce the morbidity and mortality associated with complications of either a miscarriage or incomplete TOP (including TOP that was performed unsafely). </w:t>
      </w:r>
      <w:r w:rsidR="00D20D3C">
        <w:t>Incomplete TOP is</w:t>
      </w:r>
      <w:r w:rsidR="00BB5EF9">
        <w:t xml:space="preserve"> defined by clinical presence of</w:t>
      </w:r>
      <w:r w:rsidR="00D20D3C">
        <w:t xml:space="preserve"> open cervical os and bleeding, whereby all products of conception have not been expelled from the uterus. </w:t>
      </w:r>
      <w:r w:rsidRPr="00467E5E">
        <w:rPr>
          <w:color w:val="000000" w:themeColor="text1"/>
        </w:rPr>
        <w:t xml:space="preserve">Options for management of incomplete TOP include </w:t>
      </w:r>
      <w:r w:rsidR="003811D5">
        <w:rPr>
          <w:color w:val="000000" w:themeColor="text1"/>
        </w:rPr>
        <w:t>expectant management</w:t>
      </w:r>
      <w:r w:rsidR="0017350B">
        <w:rPr>
          <w:color w:val="000000" w:themeColor="text1"/>
        </w:rPr>
        <w:t xml:space="preserve"> or </w:t>
      </w:r>
      <w:r w:rsidRPr="00467E5E">
        <w:rPr>
          <w:color w:val="000000" w:themeColor="text1"/>
        </w:rPr>
        <w:t xml:space="preserve">surgical and medical methods of uterine evacuation. </w:t>
      </w:r>
      <w:r w:rsidR="0017350B">
        <w:rPr>
          <w:color w:val="000000" w:themeColor="text1"/>
        </w:rPr>
        <w:t xml:space="preserve">The mode of management should be selected based on the individual’s clinical condition and preference for treatment. </w:t>
      </w:r>
    </w:p>
    <w:p w14:paraId="399A4CC9" w14:textId="77777777" w:rsidR="00467E5E" w:rsidRDefault="00467E5E" w:rsidP="00207367"/>
    <w:p w14:paraId="15FCBD71" w14:textId="4CBD9C56" w:rsidR="00207367" w:rsidRDefault="00207367" w:rsidP="00207367">
      <w:r w:rsidRPr="00F908E3">
        <w:rPr>
          <w:b/>
        </w:rPr>
        <w:t>Assessment:</w:t>
      </w:r>
      <w:r>
        <w:t xml:space="preserve"> Incomplete TOP should be suspected when </w:t>
      </w:r>
      <w:r w:rsidR="006039F3">
        <w:t>an individual of</w:t>
      </w:r>
      <w:r>
        <w:t xml:space="preserve"> reproductive age presents with vaginal bleeding and/or abdominal pain</w:t>
      </w:r>
      <w:r w:rsidR="003B61C2">
        <w:t>,</w:t>
      </w:r>
      <w:r>
        <w:t xml:space="preserve"> after one or more missed menstrual periods. </w:t>
      </w:r>
      <w:r w:rsidR="00743519" w:rsidRPr="00743519">
        <w:rPr>
          <w:lang w:val="en-ZA"/>
        </w:rPr>
        <w:t xml:space="preserve">The woman may have an open cervical os with products of conception visible and/or heavy bleeding, and the uterus may be enlarged, with or without tenderness. </w:t>
      </w:r>
      <w:r w:rsidR="006039F3">
        <w:t xml:space="preserve">It should also be suspected if, upon </w:t>
      </w:r>
      <w:r w:rsidR="00BB5EF9">
        <w:t>visual examination</w:t>
      </w:r>
      <w:r w:rsidR="006039F3">
        <w:t xml:space="preserve">, the </w:t>
      </w:r>
      <w:r w:rsidR="00BB5EF9">
        <w:t>expulsed tissue</w:t>
      </w:r>
      <w:r w:rsidR="006039F3">
        <w:t xml:space="preserve"> during surgical TOP is not c</w:t>
      </w:r>
      <w:r w:rsidR="00BB5EF9">
        <w:t>onsistent</w:t>
      </w:r>
      <w:r w:rsidR="006039F3">
        <w:t xml:space="preserve"> with the estimated duration of the pregnancy. </w:t>
      </w:r>
      <w:r>
        <w:t>Ectopic pregnancy should be suspected if the uterus is small, the cervix closed</w:t>
      </w:r>
      <w:r w:rsidR="003E1AAE">
        <w:t>,</w:t>
      </w:r>
      <w:r>
        <w:t xml:space="preserve"> and/or there is an adnexal mass. </w:t>
      </w:r>
      <w:r w:rsidR="006039F3">
        <w:t>Incomplete TOP, following spontaneous or induced TOP, may be managed similarly.</w:t>
      </w:r>
    </w:p>
    <w:p w14:paraId="2100D249" w14:textId="379007B2" w:rsidR="00D73FBE" w:rsidRDefault="00D73FBE" w:rsidP="00207367"/>
    <w:p w14:paraId="05248D97" w14:textId="33D61F12" w:rsidR="00D73FBE" w:rsidRPr="00D73FBE" w:rsidRDefault="00D73FBE" w:rsidP="00D73FBE">
      <w:r w:rsidRPr="00D73FBE">
        <w:rPr>
          <w:i/>
        </w:rPr>
        <w:t>Unsafe TOP</w:t>
      </w:r>
      <w:r>
        <w:rPr>
          <w:i/>
        </w:rPr>
        <w:t>:</w:t>
      </w:r>
      <w:r>
        <w:t xml:space="preserve"> It is important to distinguish between safe and unsafe TOP since the latter is much more likely to be associated with infection. </w:t>
      </w:r>
      <w:r w:rsidRPr="00F908E3">
        <w:rPr>
          <w:b/>
        </w:rPr>
        <w:t>Indications that a TOP has been attempted by unsafe methods</w:t>
      </w:r>
      <w:r>
        <w:rPr>
          <w:b/>
        </w:rPr>
        <w:t xml:space="preserve"> </w:t>
      </w:r>
      <w:r w:rsidRPr="00F908E3">
        <w:rPr>
          <w:b/>
        </w:rPr>
        <w:t xml:space="preserve">includes the presence of: </w:t>
      </w:r>
    </w:p>
    <w:p w14:paraId="66588F21" w14:textId="77777777" w:rsidR="00D73FBE" w:rsidRDefault="00D73FBE" w:rsidP="008D431E">
      <w:pPr>
        <w:pStyle w:val="ListParagraph"/>
        <w:numPr>
          <w:ilvl w:val="0"/>
          <w:numId w:val="16"/>
        </w:numPr>
      </w:pPr>
      <w:r>
        <w:lastRenderedPageBreak/>
        <w:t xml:space="preserve">Vaginal laceration </w:t>
      </w:r>
    </w:p>
    <w:p w14:paraId="6E77C472" w14:textId="77777777" w:rsidR="00D73FBE" w:rsidRDefault="00D73FBE" w:rsidP="008D431E">
      <w:pPr>
        <w:pStyle w:val="ListParagraph"/>
        <w:numPr>
          <w:ilvl w:val="0"/>
          <w:numId w:val="16"/>
        </w:numPr>
      </w:pPr>
      <w:r>
        <w:t xml:space="preserve">Cervical injury </w:t>
      </w:r>
    </w:p>
    <w:p w14:paraId="03B832FE" w14:textId="77777777" w:rsidR="00D73FBE" w:rsidRDefault="00D73FBE" w:rsidP="008D431E">
      <w:pPr>
        <w:pStyle w:val="ListParagraph"/>
        <w:numPr>
          <w:ilvl w:val="0"/>
          <w:numId w:val="16"/>
        </w:numPr>
      </w:pPr>
      <w:r>
        <w:t xml:space="preserve">Uterine enlargement equivalent to a pregnancy of &gt;12 weeks + 0 days of gestation </w:t>
      </w:r>
    </w:p>
    <w:p w14:paraId="2B8414F4" w14:textId="0017CC94" w:rsidR="00D73FBE" w:rsidRDefault="00D73FBE" w:rsidP="008D431E">
      <w:pPr>
        <w:pStyle w:val="ListParagraph"/>
        <w:numPr>
          <w:ilvl w:val="0"/>
          <w:numId w:val="16"/>
        </w:numPr>
      </w:pPr>
      <w:r>
        <w:t>Products o</w:t>
      </w:r>
      <w:r w:rsidR="00C87366">
        <w:t>f conception visible at cervix (although</w:t>
      </w:r>
      <w:r>
        <w:t xml:space="preserve"> this is true of a spontaneous TOP</w:t>
      </w:r>
      <w:r w:rsidR="00C87366">
        <w:t xml:space="preserve"> as well) </w:t>
      </w:r>
    </w:p>
    <w:p w14:paraId="489151A3" w14:textId="16848D99" w:rsidR="00743519" w:rsidRDefault="00743519" w:rsidP="008D431E">
      <w:pPr>
        <w:pStyle w:val="ListParagraph"/>
        <w:numPr>
          <w:ilvl w:val="0"/>
          <w:numId w:val="16"/>
        </w:numPr>
      </w:pPr>
      <w:r>
        <w:t xml:space="preserve">Presence of foreign body in vagina </w:t>
      </w:r>
    </w:p>
    <w:p w14:paraId="7638DAF4" w14:textId="0B10198A" w:rsidR="00743519" w:rsidRDefault="00743519" w:rsidP="008D431E">
      <w:pPr>
        <w:pStyle w:val="ListParagraph"/>
        <w:numPr>
          <w:ilvl w:val="0"/>
          <w:numId w:val="16"/>
        </w:numPr>
      </w:pPr>
      <w:r>
        <w:t xml:space="preserve">Signs of abdominal injury or uterine perforation </w:t>
      </w:r>
    </w:p>
    <w:p w14:paraId="03B06AB3" w14:textId="123D4B75" w:rsidR="00743519" w:rsidRDefault="00743519" w:rsidP="008D431E">
      <w:pPr>
        <w:pStyle w:val="ListParagraph"/>
        <w:numPr>
          <w:ilvl w:val="0"/>
          <w:numId w:val="16"/>
        </w:numPr>
      </w:pPr>
      <w:r>
        <w:t xml:space="preserve">Signs or symptoms of sepsis or shock </w:t>
      </w:r>
    </w:p>
    <w:p w14:paraId="3DC72D0D" w14:textId="521DEC7E" w:rsidR="00D73FBE" w:rsidRDefault="00D73FBE" w:rsidP="00D73FBE"/>
    <w:p w14:paraId="171624C3" w14:textId="1AD9E7E2" w:rsidR="00D73FBE" w:rsidRPr="00D73FBE" w:rsidRDefault="00D73FBE" w:rsidP="00D73FBE">
      <w:pPr>
        <w:rPr>
          <w:i/>
        </w:rPr>
      </w:pPr>
      <w:r w:rsidRPr="00D73FBE">
        <w:rPr>
          <w:i/>
        </w:rPr>
        <w:t>Infectio</w:t>
      </w:r>
      <w:r>
        <w:rPr>
          <w:i/>
        </w:rPr>
        <w:t xml:space="preserve">n: </w:t>
      </w:r>
      <w:r>
        <w:rPr>
          <w:b/>
        </w:rPr>
        <w:t xml:space="preserve">It is vital to identify an individual </w:t>
      </w:r>
      <w:r w:rsidRPr="00F908E3">
        <w:rPr>
          <w:b/>
        </w:rPr>
        <w:t xml:space="preserve">who may have an infection and to manage this urgently. </w:t>
      </w:r>
      <w:r>
        <w:t xml:space="preserve">Infection is much more likely to be severe if the TOP has been performed unsafely. Clinical features suggestive of infection include: </w:t>
      </w:r>
    </w:p>
    <w:p w14:paraId="478D09E8" w14:textId="7080E8BD" w:rsidR="00D73FBE" w:rsidRPr="00F908E3" w:rsidRDefault="00D73FBE" w:rsidP="008D431E">
      <w:pPr>
        <w:pStyle w:val="ListParagraph"/>
        <w:numPr>
          <w:ilvl w:val="0"/>
          <w:numId w:val="17"/>
        </w:numPr>
      </w:pPr>
      <w:r w:rsidRPr="00F908E3">
        <w:t>Temperature above 37.5</w:t>
      </w:r>
      <w:r>
        <w:rPr>
          <w:vertAlign w:val="superscript"/>
        </w:rPr>
        <w:t xml:space="preserve"> </w:t>
      </w:r>
      <w:r w:rsidRPr="00F908E3">
        <w:t>C</w:t>
      </w:r>
      <w:r w:rsidR="00743519">
        <w:t xml:space="preserve"> and/or chills </w:t>
      </w:r>
    </w:p>
    <w:p w14:paraId="08C1E48C" w14:textId="77777777" w:rsidR="00D73FBE" w:rsidRPr="00F908E3" w:rsidRDefault="00D73FBE" w:rsidP="008D431E">
      <w:pPr>
        <w:pStyle w:val="ListParagraph"/>
        <w:numPr>
          <w:ilvl w:val="0"/>
          <w:numId w:val="17"/>
        </w:numPr>
      </w:pPr>
      <w:r w:rsidRPr="00F908E3">
        <w:t>Localised or general abdominal tenderness, guarding</w:t>
      </w:r>
      <w:r>
        <w:t>,</w:t>
      </w:r>
      <w:r w:rsidRPr="00F908E3">
        <w:t xml:space="preserve"> and rebound </w:t>
      </w:r>
    </w:p>
    <w:p w14:paraId="11698B7B" w14:textId="22A457F4" w:rsidR="00D73FBE" w:rsidRPr="00F908E3" w:rsidRDefault="00D73FBE" w:rsidP="008D431E">
      <w:pPr>
        <w:pStyle w:val="ListParagraph"/>
        <w:numPr>
          <w:ilvl w:val="0"/>
          <w:numId w:val="17"/>
        </w:numPr>
      </w:pPr>
      <w:r w:rsidRPr="00F908E3">
        <w:t xml:space="preserve">Foul </w:t>
      </w:r>
      <w:r w:rsidR="00743519">
        <w:t xml:space="preserve">smelling vaginal or cervical discharge </w:t>
      </w:r>
      <w:r w:rsidRPr="00F908E3">
        <w:t xml:space="preserve">or pus visible in the cervical os </w:t>
      </w:r>
    </w:p>
    <w:p w14:paraId="19189F24" w14:textId="0D85F2C8" w:rsidR="00D73FBE" w:rsidRDefault="00D73FBE" w:rsidP="008D431E">
      <w:pPr>
        <w:pStyle w:val="ListParagraph"/>
        <w:numPr>
          <w:ilvl w:val="0"/>
          <w:numId w:val="17"/>
        </w:numPr>
      </w:pPr>
      <w:r w:rsidRPr="00F908E3">
        <w:t>Uterine</w:t>
      </w:r>
      <w:r w:rsidR="00743519">
        <w:t>, lower abdominal or cervical motion</w:t>
      </w:r>
      <w:r w:rsidRPr="00F908E3">
        <w:t xml:space="preserve"> tenderness</w:t>
      </w:r>
    </w:p>
    <w:p w14:paraId="609DD70E" w14:textId="77777777" w:rsidR="00D73FBE" w:rsidRDefault="00D73FBE" w:rsidP="00D73FBE"/>
    <w:p w14:paraId="22503005" w14:textId="77777777" w:rsidR="00D73FBE" w:rsidRDefault="00D73FBE" w:rsidP="00D73FBE">
      <w:r>
        <w:t xml:space="preserve">Clinical features suggestive of sepsis and indicating the need for urgent intervention include: </w:t>
      </w:r>
    </w:p>
    <w:p w14:paraId="794EF3EC" w14:textId="77777777" w:rsidR="00D73FBE" w:rsidRDefault="00D73FBE" w:rsidP="008D431E">
      <w:pPr>
        <w:pStyle w:val="ListParagraph"/>
        <w:numPr>
          <w:ilvl w:val="0"/>
          <w:numId w:val="18"/>
        </w:numPr>
      </w:pPr>
      <w:r>
        <w:t xml:space="preserve">Hypotension </w:t>
      </w:r>
    </w:p>
    <w:p w14:paraId="64F0A935" w14:textId="77777777" w:rsidR="00D73FBE" w:rsidRDefault="00D73FBE" w:rsidP="008D431E">
      <w:pPr>
        <w:pStyle w:val="ListParagraph"/>
        <w:numPr>
          <w:ilvl w:val="0"/>
          <w:numId w:val="18"/>
        </w:numPr>
      </w:pPr>
      <w:r>
        <w:t xml:space="preserve">Tachycardia </w:t>
      </w:r>
    </w:p>
    <w:p w14:paraId="7F98357C" w14:textId="77777777" w:rsidR="00D73FBE" w:rsidRDefault="00D73FBE" w:rsidP="008D431E">
      <w:pPr>
        <w:pStyle w:val="ListParagraph"/>
        <w:numPr>
          <w:ilvl w:val="0"/>
          <w:numId w:val="18"/>
        </w:numPr>
      </w:pPr>
      <w:r>
        <w:t xml:space="preserve">Increased respiratory rate </w:t>
      </w:r>
    </w:p>
    <w:p w14:paraId="0D48D115" w14:textId="34A187E4" w:rsidR="00D73FBE" w:rsidRDefault="00D73FBE" w:rsidP="00D73FBE"/>
    <w:p w14:paraId="32A188DA" w14:textId="7F80DA23" w:rsidR="0048646E" w:rsidRPr="0048646E" w:rsidRDefault="0048646E" w:rsidP="0048646E">
      <w:pPr>
        <w:pStyle w:val="Caption"/>
        <w:keepNext/>
        <w:rPr>
          <w:color w:val="FF0000"/>
          <w:sz w:val="20"/>
        </w:rPr>
      </w:pPr>
      <w:bookmarkStart w:id="104" w:name="_Toc8387229"/>
      <w:r w:rsidRPr="00D73FBE">
        <w:rPr>
          <w:color w:val="FF0000"/>
          <w:sz w:val="20"/>
        </w:rPr>
        <w:t xml:space="preserve">Table </w:t>
      </w:r>
      <w:r w:rsidRPr="00D73FBE">
        <w:rPr>
          <w:color w:val="FF0000"/>
          <w:sz w:val="20"/>
        </w:rPr>
        <w:fldChar w:fldCharType="begin"/>
      </w:r>
      <w:r w:rsidRPr="00D73FBE">
        <w:rPr>
          <w:color w:val="FF0000"/>
          <w:sz w:val="20"/>
        </w:rPr>
        <w:instrText xml:space="preserve"> SEQ Table \* ARABIC </w:instrText>
      </w:r>
      <w:r w:rsidRPr="00D73FBE">
        <w:rPr>
          <w:color w:val="FF0000"/>
          <w:sz w:val="20"/>
        </w:rPr>
        <w:fldChar w:fldCharType="separate"/>
      </w:r>
      <w:r>
        <w:rPr>
          <w:noProof/>
          <w:color w:val="FF0000"/>
          <w:sz w:val="20"/>
        </w:rPr>
        <w:t>11</w:t>
      </w:r>
      <w:r w:rsidRPr="00D73FBE">
        <w:rPr>
          <w:color w:val="FF0000"/>
          <w:sz w:val="20"/>
        </w:rPr>
        <w:fldChar w:fldCharType="end"/>
      </w:r>
      <w:r w:rsidRPr="00D73FBE">
        <w:rPr>
          <w:color w:val="FF0000"/>
          <w:sz w:val="20"/>
        </w:rPr>
        <w:t xml:space="preserve">. </w:t>
      </w:r>
      <w:r>
        <w:rPr>
          <w:color w:val="FF0000"/>
          <w:sz w:val="20"/>
        </w:rPr>
        <w:t xml:space="preserve">Management of incomplete TOP </w:t>
      </w:r>
      <w:bookmarkEnd w:id="104"/>
    </w:p>
    <w:p w14:paraId="72748B86" w14:textId="7C198951" w:rsidR="00D73FBE" w:rsidRDefault="00D73FBE" w:rsidP="00D73FBE">
      <w:pPr>
        <w:rPr>
          <w:b/>
        </w:rPr>
      </w:pPr>
    </w:p>
    <w:tbl>
      <w:tblPr>
        <w:tblStyle w:val="GridTable4-Accent3"/>
        <w:tblW w:w="10012" w:type="dxa"/>
        <w:tblLook w:val="04A0" w:firstRow="1" w:lastRow="0" w:firstColumn="1" w:lastColumn="0" w:noHBand="0" w:noVBand="1"/>
      </w:tblPr>
      <w:tblGrid>
        <w:gridCol w:w="2122"/>
        <w:gridCol w:w="1984"/>
        <w:gridCol w:w="5906"/>
      </w:tblGrid>
      <w:tr w:rsidR="00D73FBE" w:rsidRPr="00D73FBE" w14:paraId="568C5A13" w14:textId="77777777" w:rsidTr="008B0137">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122" w:type="dxa"/>
            <w:shd w:val="clear" w:color="auto" w:fill="AEAAAA" w:themeFill="background2" w:themeFillShade="BF"/>
          </w:tcPr>
          <w:p w14:paraId="118C80DA" w14:textId="58E50ED4" w:rsidR="00D73FBE" w:rsidRPr="00FD1801" w:rsidRDefault="008B0137" w:rsidP="00DD228B">
            <w:pPr>
              <w:rPr>
                <w:color w:val="000000" w:themeColor="text1"/>
              </w:rPr>
            </w:pPr>
            <w:r w:rsidRPr="00FD1801">
              <w:rPr>
                <w:color w:val="000000" w:themeColor="text1"/>
              </w:rPr>
              <w:t>Stage</w:t>
            </w:r>
          </w:p>
        </w:tc>
        <w:tc>
          <w:tcPr>
            <w:tcW w:w="1984" w:type="dxa"/>
            <w:shd w:val="clear" w:color="auto" w:fill="AEAAAA" w:themeFill="background2" w:themeFillShade="BF"/>
          </w:tcPr>
          <w:p w14:paraId="5637ED48" w14:textId="6CD2C983" w:rsidR="00D73FBE" w:rsidRPr="00D73FBE" w:rsidRDefault="008B0137" w:rsidP="00DD228B">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Method</w:t>
            </w:r>
          </w:p>
        </w:tc>
        <w:tc>
          <w:tcPr>
            <w:tcW w:w="5906" w:type="dxa"/>
            <w:shd w:val="clear" w:color="auto" w:fill="AEAAAA" w:themeFill="background2" w:themeFillShade="BF"/>
          </w:tcPr>
          <w:p w14:paraId="3A96C4F0" w14:textId="1A2E7848" w:rsidR="00D73FBE" w:rsidRPr="00D73FBE" w:rsidRDefault="00B32BA3" w:rsidP="00DD228B">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Clinical Guidance </w:t>
            </w:r>
            <w:r w:rsidR="008B0137">
              <w:rPr>
                <w:color w:val="000000" w:themeColor="text1"/>
              </w:rPr>
              <w:t xml:space="preserve"> </w:t>
            </w:r>
          </w:p>
        </w:tc>
      </w:tr>
      <w:tr w:rsidR="008B0137" w:rsidRPr="00D73FBE" w14:paraId="5401D0EE" w14:textId="77777777" w:rsidTr="008B0137">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06BED4EC" w14:textId="1DFB9F89" w:rsidR="008B0137" w:rsidRPr="00D73FBE" w:rsidRDefault="008B0137" w:rsidP="00DD228B">
            <w:pPr>
              <w:rPr>
                <w:bCs w:val="0"/>
                <w:color w:val="000000" w:themeColor="text1"/>
                <w:sz w:val="20"/>
                <w:szCs w:val="20"/>
              </w:rPr>
            </w:pPr>
            <w:r w:rsidRPr="00D73FBE">
              <w:rPr>
                <w:b w:val="0"/>
                <w:color w:val="000000" w:themeColor="text1"/>
                <w:sz w:val="20"/>
                <w:szCs w:val="20"/>
              </w:rPr>
              <w:t xml:space="preserve">If no suspicion of infection and uterine size is </w:t>
            </w:r>
            <w:r w:rsidRPr="008B0137">
              <w:rPr>
                <w:b w:val="0"/>
                <w:color w:val="000000" w:themeColor="text1"/>
                <w:sz w:val="20"/>
                <w:szCs w:val="20"/>
              </w:rPr>
              <w:t>&lt;</w:t>
            </w:r>
            <w:r w:rsidR="005640F0">
              <w:rPr>
                <w:b w:val="0"/>
                <w:color w:val="000000" w:themeColor="text1"/>
                <w:sz w:val="20"/>
                <w:szCs w:val="20"/>
              </w:rPr>
              <w:t>13</w:t>
            </w:r>
            <w:r w:rsidRPr="00D73FBE">
              <w:rPr>
                <w:b w:val="0"/>
                <w:color w:val="000000" w:themeColor="text1"/>
                <w:sz w:val="20"/>
                <w:szCs w:val="20"/>
              </w:rPr>
              <w:t xml:space="preserve"> weeks + 0 days  </w:t>
            </w:r>
          </w:p>
          <w:p w14:paraId="616860FE" w14:textId="21A9924D" w:rsidR="008B0137" w:rsidRPr="00D73FBE" w:rsidRDefault="008B0137" w:rsidP="00DD228B">
            <w:pPr>
              <w:rPr>
                <w:b w:val="0"/>
                <w:color w:val="000000" w:themeColor="text1"/>
                <w:sz w:val="20"/>
                <w:szCs w:val="20"/>
              </w:rPr>
            </w:pPr>
          </w:p>
        </w:tc>
        <w:tc>
          <w:tcPr>
            <w:tcW w:w="1984" w:type="dxa"/>
          </w:tcPr>
          <w:p w14:paraId="179DF940" w14:textId="4D5213AB" w:rsidR="008B0137" w:rsidRPr="00D73FBE" w:rsidRDefault="008B0137" w:rsidP="00D73FB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Uterine evacuation with vacuum aspiration </w:t>
            </w:r>
          </w:p>
        </w:tc>
        <w:tc>
          <w:tcPr>
            <w:tcW w:w="5906" w:type="dxa"/>
          </w:tcPr>
          <w:p w14:paraId="366E1979" w14:textId="43AB6C88" w:rsidR="008B0137" w:rsidRPr="00D73FBE" w:rsidRDefault="008B0137" w:rsidP="00D73FB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Antibiotic prophylaxis should be given before surgical evaluation (200 mg doxycycline or a single dose of 500 mg azithromycin within 2 hours before the procedure). Note: If antibiotics are not available, the procedure </w:t>
            </w:r>
            <w:r w:rsidRPr="008B0137">
              <w:rPr>
                <w:i/>
                <w:color w:val="000000" w:themeColor="text1"/>
                <w:sz w:val="20"/>
                <w:szCs w:val="20"/>
              </w:rPr>
              <w:t>should not</w:t>
            </w:r>
            <w:r>
              <w:rPr>
                <w:color w:val="000000" w:themeColor="text1"/>
                <w:sz w:val="20"/>
                <w:szCs w:val="20"/>
              </w:rPr>
              <w:t xml:space="preserve"> be delayed.</w:t>
            </w:r>
            <w:r w:rsidRPr="00D73FBE">
              <w:rPr>
                <w:color w:val="000000" w:themeColor="text1"/>
                <w:sz w:val="20"/>
                <w:szCs w:val="20"/>
              </w:rPr>
              <w:t xml:space="preserve"> </w:t>
            </w:r>
          </w:p>
        </w:tc>
      </w:tr>
      <w:tr w:rsidR="008B0137" w:rsidRPr="00D73FBE" w14:paraId="4ECFB034" w14:textId="77777777" w:rsidTr="008B0137">
        <w:trPr>
          <w:trHeight w:val="409"/>
        </w:trPr>
        <w:tc>
          <w:tcPr>
            <w:cnfStyle w:val="001000000000" w:firstRow="0" w:lastRow="0" w:firstColumn="1" w:lastColumn="0" w:oddVBand="0" w:evenVBand="0" w:oddHBand="0" w:evenHBand="0" w:firstRowFirstColumn="0" w:firstRowLastColumn="0" w:lastRowFirstColumn="0" w:lastRowLastColumn="0"/>
            <w:tcW w:w="2122" w:type="dxa"/>
            <w:vMerge/>
          </w:tcPr>
          <w:p w14:paraId="64B925D5" w14:textId="3C7F9D35" w:rsidR="008B0137" w:rsidRPr="00D73FBE" w:rsidRDefault="008B0137" w:rsidP="00DD228B">
            <w:pPr>
              <w:rPr>
                <w:b w:val="0"/>
                <w:color w:val="000000" w:themeColor="text1"/>
                <w:sz w:val="20"/>
                <w:szCs w:val="20"/>
              </w:rPr>
            </w:pPr>
          </w:p>
        </w:tc>
        <w:tc>
          <w:tcPr>
            <w:tcW w:w="1984" w:type="dxa"/>
          </w:tcPr>
          <w:p w14:paraId="2DED4162" w14:textId="327F3A6B" w:rsidR="008B0137" w:rsidRPr="00D73FBE" w:rsidRDefault="008B0137" w:rsidP="00D73FB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Misoprostol </w:t>
            </w:r>
          </w:p>
        </w:tc>
        <w:tc>
          <w:tcPr>
            <w:tcW w:w="5906" w:type="dxa"/>
          </w:tcPr>
          <w:p w14:paraId="16E090FE" w14:textId="77777777" w:rsidR="00BB5EF9" w:rsidRDefault="008B0137" w:rsidP="00D73FB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0137">
              <w:rPr>
                <w:color w:val="000000" w:themeColor="text1"/>
                <w:sz w:val="20"/>
                <w:szCs w:val="20"/>
              </w:rPr>
              <w:t xml:space="preserve">600 μg orally or 400 μg sublingually </w:t>
            </w:r>
          </w:p>
          <w:p w14:paraId="36D716CB" w14:textId="77777777" w:rsidR="00BB5EF9" w:rsidRDefault="00BB5EF9" w:rsidP="00D73FB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0DF188D" w14:textId="7492362C" w:rsidR="00BB5EF9" w:rsidRPr="00D73FBE" w:rsidRDefault="00BB5EF9" w:rsidP="00D73FB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Repeat doses can be considered when needed to achieve success of the TOP process. There is no maximum number of doses of misoprostol. </w:t>
            </w:r>
          </w:p>
        </w:tc>
      </w:tr>
      <w:tr w:rsidR="00FD1801" w:rsidRPr="00D73FBE" w14:paraId="7E18451B" w14:textId="77777777" w:rsidTr="008B0137">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10A7A72A" w14:textId="0111FD9F" w:rsidR="00FD1801" w:rsidRPr="00D73FBE" w:rsidRDefault="00FD1801" w:rsidP="00DD228B">
            <w:pPr>
              <w:rPr>
                <w:b w:val="0"/>
                <w:color w:val="000000" w:themeColor="text1"/>
                <w:sz w:val="20"/>
                <w:szCs w:val="20"/>
              </w:rPr>
            </w:pPr>
            <w:r>
              <w:rPr>
                <w:b w:val="0"/>
                <w:color w:val="000000" w:themeColor="text1"/>
                <w:sz w:val="20"/>
                <w:szCs w:val="20"/>
              </w:rPr>
              <w:t xml:space="preserve">If no suspicion of infection and uterine size is </w:t>
            </w:r>
            <w:r w:rsidRPr="008B0137">
              <w:rPr>
                <w:b w:val="0"/>
                <w:color w:val="000000" w:themeColor="text1"/>
                <w:sz w:val="20"/>
                <w:szCs w:val="20"/>
                <w:u w:val="single"/>
              </w:rPr>
              <w:t>&gt;</w:t>
            </w:r>
            <w:r w:rsidR="00BB5EF9">
              <w:rPr>
                <w:b w:val="0"/>
                <w:color w:val="000000" w:themeColor="text1"/>
                <w:sz w:val="20"/>
                <w:szCs w:val="20"/>
              </w:rPr>
              <w:t>13</w:t>
            </w:r>
            <w:r>
              <w:rPr>
                <w:b w:val="0"/>
                <w:color w:val="000000" w:themeColor="text1"/>
                <w:sz w:val="20"/>
                <w:szCs w:val="20"/>
              </w:rPr>
              <w:t xml:space="preserve"> weeks + 0 days or larger</w:t>
            </w:r>
          </w:p>
        </w:tc>
        <w:tc>
          <w:tcPr>
            <w:tcW w:w="1984" w:type="dxa"/>
          </w:tcPr>
          <w:p w14:paraId="0AC4BBCB" w14:textId="4070631F" w:rsidR="00FD1801" w:rsidRPr="008B0137" w:rsidRDefault="00FD1801" w:rsidP="008B013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Uterine evacuation using vacuum aspiration and blunt forceps if necessary</w:t>
            </w:r>
          </w:p>
        </w:tc>
        <w:tc>
          <w:tcPr>
            <w:tcW w:w="5906" w:type="dxa"/>
          </w:tcPr>
          <w:p w14:paraId="386523CD" w14:textId="62A43C2B" w:rsidR="00FD1801" w:rsidRPr="008B0137" w:rsidRDefault="00FD1801" w:rsidP="008B013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Antibiotic prophylaxis should be given before surgical evaluation (200 mg doxycycline or a single dose of 500 mg azithromycin within 2 hours before the procedure). Note: If antibiotics are not available, the procedure </w:t>
            </w:r>
            <w:r w:rsidRPr="008B0137">
              <w:rPr>
                <w:i/>
                <w:color w:val="000000" w:themeColor="text1"/>
                <w:sz w:val="20"/>
                <w:szCs w:val="20"/>
              </w:rPr>
              <w:t>should not</w:t>
            </w:r>
            <w:r>
              <w:rPr>
                <w:color w:val="000000" w:themeColor="text1"/>
                <w:sz w:val="20"/>
                <w:szCs w:val="20"/>
              </w:rPr>
              <w:t xml:space="preserve"> be delayed.</w:t>
            </w:r>
          </w:p>
        </w:tc>
      </w:tr>
      <w:tr w:rsidR="00FD1801" w:rsidRPr="00D73FBE" w14:paraId="6CFD17C5" w14:textId="77777777" w:rsidTr="008B0137">
        <w:trPr>
          <w:trHeight w:val="208"/>
        </w:trPr>
        <w:tc>
          <w:tcPr>
            <w:cnfStyle w:val="001000000000" w:firstRow="0" w:lastRow="0" w:firstColumn="1" w:lastColumn="0" w:oddVBand="0" w:evenVBand="0" w:oddHBand="0" w:evenHBand="0" w:firstRowFirstColumn="0" w:firstRowLastColumn="0" w:lastRowFirstColumn="0" w:lastRowLastColumn="0"/>
            <w:tcW w:w="2122" w:type="dxa"/>
            <w:vMerge/>
          </w:tcPr>
          <w:p w14:paraId="64146D39" w14:textId="77777777" w:rsidR="00FD1801" w:rsidRDefault="00FD1801" w:rsidP="00DD228B">
            <w:pPr>
              <w:rPr>
                <w:b w:val="0"/>
                <w:color w:val="000000" w:themeColor="text1"/>
                <w:sz w:val="20"/>
                <w:szCs w:val="20"/>
              </w:rPr>
            </w:pPr>
          </w:p>
        </w:tc>
        <w:tc>
          <w:tcPr>
            <w:tcW w:w="1984" w:type="dxa"/>
          </w:tcPr>
          <w:p w14:paraId="7EAF1BD0" w14:textId="3C3A4936" w:rsidR="00FD1801" w:rsidRDefault="00FD1801" w:rsidP="008B013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Misoprostol</w:t>
            </w:r>
          </w:p>
        </w:tc>
        <w:tc>
          <w:tcPr>
            <w:tcW w:w="5906" w:type="dxa"/>
          </w:tcPr>
          <w:p w14:paraId="4DA0823D" w14:textId="0591B185" w:rsidR="00FD1801" w:rsidRDefault="00BB5EF9" w:rsidP="008B013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400 </w:t>
            </w:r>
            <w:r w:rsidR="00FD1801" w:rsidRPr="008B0137">
              <w:rPr>
                <w:color w:val="000000" w:themeColor="text1"/>
                <w:sz w:val="20"/>
                <w:szCs w:val="20"/>
              </w:rPr>
              <w:t>μg</w:t>
            </w:r>
            <w:r w:rsidR="00FD1801">
              <w:rPr>
                <w:color w:val="000000" w:themeColor="text1"/>
                <w:sz w:val="20"/>
                <w:szCs w:val="20"/>
              </w:rPr>
              <w:t xml:space="preserve"> misoprostol administered vaginally, sublingually or buccally </w:t>
            </w:r>
            <w:r w:rsidR="005B6EE6">
              <w:rPr>
                <w:color w:val="000000" w:themeColor="text1"/>
                <w:sz w:val="20"/>
                <w:szCs w:val="20"/>
              </w:rPr>
              <w:t xml:space="preserve">every 3 </w:t>
            </w:r>
            <w:r>
              <w:rPr>
                <w:color w:val="000000" w:themeColor="text1"/>
                <w:sz w:val="20"/>
                <w:szCs w:val="20"/>
              </w:rPr>
              <w:t>hours</w:t>
            </w:r>
          </w:p>
          <w:p w14:paraId="49808702" w14:textId="77777777" w:rsidR="00FD1801" w:rsidRPr="005B6EE6" w:rsidRDefault="00FD1801" w:rsidP="008D431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5B6EE6">
              <w:rPr>
                <w:color w:val="FF0000"/>
                <w:sz w:val="20"/>
                <w:szCs w:val="20"/>
              </w:rPr>
              <w:t>If available and time permitting, 200 μg mifepristone orally should be administered 12-48 hours before misoprostol</w:t>
            </w:r>
          </w:p>
          <w:p w14:paraId="2E64D0B4" w14:textId="77777777" w:rsidR="00FD1801" w:rsidRPr="005B6EE6" w:rsidRDefault="00FD1801" w:rsidP="008D431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5B6EE6">
              <w:rPr>
                <w:color w:val="FF0000"/>
                <w:sz w:val="20"/>
                <w:szCs w:val="20"/>
              </w:rPr>
              <w:lastRenderedPageBreak/>
              <w:t xml:space="preserve">In order to align protocols, services may use the same dosing and intervals as recommended in regimens for induced TOP </w:t>
            </w:r>
          </w:p>
          <w:p w14:paraId="038734CA" w14:textId="77777777" w:rsidR="00FD1801" w:rsidRPr="005B6EE6" w:rsidRDefault="00FD1801" w:rsidP="008B013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5B6EE6">
              <w:rPr>
                <w:color w:val="FF0000"/>
                <w:sz w:val="20"/>
                <w:szCs w:val="20"/>
              </w:rPr>
              <w:t>28+ weeks: 25 μg vaginally 6-hourly or 25 μg orally 2-hourly</w:t>
            </w:r>
          </w:p>
          <w:p w14:paraId="3A70F4C3" w14:textId="77777777" w:rsidR="00BB5EF9" w:rsidRDefault="00BB5EF9" w:rsidP="008B013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ECB0149" w14:textId="1A6AB209" w:rsidR="00BB5EF9" w:rsidRPr="008B0137" w:rsidRDefault="00BB5EF9" w:rsidP="008B013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Repeat doses can be considered when needed to achieve success of the TOP process. There is no maximum number of doses of misoprostol.</w:t>
            </w:r>
          </w:p>
        </w:tc>
      </w:tr>
      <w:tr w:rsidR="00FD1801" w:rsidRPr="00D73FBE" w14:paraId="3E1BE4C5" w14:textId="77777777" w:rsidTr="008B0137">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76CFA122" w14:textId="63B24A9E" w:rsidR="00FD1801" w:rsidRDefault="00FD1801" w:rsidP="00DD228B">
            <w:pPr>
              <w:rPr>
                <w:b w:val="0"/>
                <w:color w:val="000000" w:themeColor="text1"/>
                <w:sz w:val="20"/>
                <w:szCs w:val="20"/>
              </w:rPr>
            </w:pPr>
            <w:r>
              <w:rPr>
                <w:b w:val="0"/>
                <w:color w:val="000000" w:themeColor="text1"/>
                <w:sz w:val="20"/>
                <w:szCs w:val="20"/>
              </w:rPr>
              <w:lastRenderedPageBreak/>
              <w:t xml:space="preserve">If infection is present, the uterus should be evacuated urgently </w:t>
            </w:r>
          </w:p>
        </w:tc>
        <w:tc>
          <w:tcPr>
            <w:tcW w:w="1984" w:type="dxa"/>
          </w:tcPr>
          <w:p w14:paraId="16659482" w14:textId="32D5EE04" w:rsidR="00FD1801" w:rsidRDefault="00FD1801" w:rsidP="008B0137">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Surgical uterine evacuation </w:t>
            </w:r>
          </w:p>
        </w:tc>
        <w:tc>
          <w:tcPr>
            <w:tcW w:w="5906" w:type="dxa"/>
          </w:tcPr>
          <w:p w14:paraId="319C665B" w14:textId="54796145" w:rsidR="00FD1801" w:rsidRPr="00FD1801" w:rsidRDefault="00FD1801" w:rsidP="00FD1801">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D1801">
              <w:rPr>
                <w:color w:val="000000" w:themeColor="text1"/>
                <w:sz w:val="20"/>
                <w:szCs w:val="20"/>
              </w:rPr>
              <w:t xml:space="preserve">Start broad based antibiotics immediately (intravenously if infection is severe and/or the individual is in septic shock) </w:t>
            </w:r>
          </w:p>
          <w:p w14:paraId="02F0DCD1" w14:textId="77777777" w:rsidR="00FD1801" w:rsidRDefault="00FD1801" w:rsidP="00FD1801">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1FEFC24" w14:textId="2267CB59" w:rsidR="00FD1801" w:rsidRPr="00FD1801" w:rsidRDefault="00FD1801" w:rsidP="00FD1801">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D1801">
              <w:rPr>
                <w:color w:val="000000" w:themeColor="text1"/>
                <w:sz w:val="20"/>
                <w:szCs w:val="20"/>
              </w:rPr>
              <w:t xml:space="preserve">Transfer to a unit with the facilities for undertaking surgical uterine evacuation if it cannot be done in the facility to which the individual presents </w:t>
            </w:r>
          </w:p>
        </w:tc>
      </w:tr>
      <w:tr w:rsidR="00FD1801" w:rsidRPr="00D73FBE" w14:paraId="3E7AA73D" w14:textId="77777777" w:rsidTr="008B0137">
        <w:trPr>
          <w:trHeight w:val="208"/>
        </w:trPr>
        <w:tc>
          <w:tcPr>
            <w:cnfStyle w:val="001000000000" w:firstRow="0" w:lastRow="0" w:firstColumn="1" w:lastColumn="0" w:oddVBand="0" w:evenVBand="0" w:oddHBand="0" w:evenHBand="0" w:firstRowFirstColumn="0" w:firstRowLastColumn="0" w:lastRowFirstColumn="0" w:lastRowLastColumn="0"/>
            <w:tcW w:w="2122" w:type="dxa"/>
            <w:vMerge/>
          </w:tcPr>
          <w:p w14:paraId="20DA00D0" w14:textId="77777777" w:rsidR="00FD1801" w:rsidRDefault="00FD1801" w:rsidP="00DD228B">
            <w:pPr>
              <w:rPr>
                <w:b w:val="0"/>
                <w:color w:val="000000" w:themeColor="text1"/>
                <w:sz w:val="20"/>
                <w:szCs w:val="20"/>
              </w:rPr>
            </w:pPr>
          </w:p>
        </w:tc>
        <w:tc>
          <w:tcPr>
            <w:tcW w:w="1984" w:type="dxa"/>
          </w:tcPr>
          <w:p w14:paraId="4176C855" w14:textId="367EBC27" w:rsidR="00FD1801" w:rsidRPr="00FD1801" w:rsidRDefault="00FD1801" w:rsidP="00FD1801">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D1801">
              <w:rPr>
                <w:color w:val="000000" w:themeColor="text1"/>
                <w:sz w:val="20"/>
                <w:szCs w:val="20"/>
              </w:rPr>
              <w:t>If the skills necessary for urgent surgical uterine evacuation are not a</w:t>
            </w:r>
            <w:r>
              <w:rPr>
                <w:color w:val="000000" w:themeColor="text1"/>
                <w:sz w:val="20"/>
                <w:szCs w:val="20"/>
              </w:rPr>
              <w:t xml:space="preserve">vailable, misoprostol can be </w:t>
            </w:r>
            <w:r w:rsidRPr="00FD1801">
              <w:rPr>
                <w:color w:val="000000" w:themeColor="text1"/>
                <w:sz w:val="20"/>
                <w:szCs w:val="20"/>
              </w:rPr>
              <w:t xml:space="preserve">used </w:t>
            </w:r>
          </w:p>
          <w:p w14:paraId="665DF969" w14:textId="77777777" w:rsidR="00FD1801" w:rsidRDefault="00FD1801" w:rsidP="008B013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06" w:type="dxa"/>
          </w:tcPr>
          <w:p w14:paraId="137F304D" w14:textId="77777777" w:rsidR="005B6EE6" w:rsidRPr="005B6EE6" w:rsidRDefault="005B6EE6" w:rsidP="005B6EE6">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5B6EE6">
              <w:rPr>
                <w:color w:val="FF0000"/>
                <w:sz w:val="20"/>
                <w:szCs w:val="20"/>
              </w:rPr>
              <w:t>400 μg misoprostol administered vaginally, sublingually or buccally every 3 hours</w:t>
            </w:r>
          </w:p>
          <w:p w14:paraId="6AD7E0B9" w14:textId="77777777" w:rsidR="00FD1801" w:rsidRPr="005B6EE6" w:rsidRDefault="00FD1801" w:rsidP="00FD1801">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160A5ECE" w14:textId="77777777" w:rsidR="00FD1801" w:rsidRDefault="00FD1801" w:rsidP="00FD1801">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5B6EE6">
              <w:rPr>
                <w:color w:val="FF0000"/>
                <w:sz w:val="20"/>
                <w:szCs w:val="20"/>
              </w:rPr>
              <w:t>28+ weeks: 25 μg vaginally 6-hourly or 25 μg orally 2-hourly</w:t>
            </w:r>
          </w:p>
          <w:p w14:paraId="0C9ADEC7" w14:textId="77777777" w:rsidR="00383248" w:rsidRDefault="00383248" w:rsidP="00FD1801">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3E3626C8" w14:textId="2C6123E7" w:rsidR="00383248" w:rsidRPr="00FD1801" w:rsidRDefault="00383248" w:rsidP="00FD1801">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Repeat doses can be considered when needed to achieve success of the TOP process. There is no maximum number of doses of misoprostol.</w:t>
            </w:r>
          </w:p>
        </w:tc>
      </w:tr>
    </w:tbl>
    <w:p w14:paraId="61068386" w14:textId="1AB389EC" w:rsidR="00D73FBE" w:rsidRDefault="00D73FBE" w:rsidP="00D73FBE"/>
    <w:p w14:paraId="1BFC5FAF" w14:textId="77777777" w:rsidR="00207367" w:rsidRDefault="00207367" w:rsidP="00207367"/>
    <w:p w14:paraId="3BEF88ED" w14:textId="2285C1BB" w:rsidR="00207367" w:rsidRPr="00D73FBE" w:rsidRDefault="00207367" w:rsidP="00207367">
      <w:pPr>
        <w:rPr>
          <w:color w:val="FF0000"/>
        </w:rPr>
      </w:pPr>
      <w:r w:rsidRPr="00D73FBE">
        <w:rPr>
          <w:b/>
          <w:color w:val="FF0000"/>
        </w:rPr>
        <w:t>Clinically stable patients have the following three options</w:t>
      </w:r>
      <w:r w:rsidR="006039F3" w:rsidRPr="00D73FBE">
        <w:rPr>
          <w:b/>
          <w:color w:val="FF0000"/>
        </w:rPr>
        <w:t>, with the decision based on the clinical condition of the individual and their preferences for treatment</w:t>
      </w:r>
      <w:r w:rsidR="007B4B3E" w:rsidRPr="00D73FBE">
        <w:rPr>
          <w:b/>
          <w:color w:val="FF0000"/>
        </w:rPr>
        <w:t xml:space="preserve"> (see Table 11)</w:t>
      </w:r>
      <w:r w:rsidRPr="00D73FBE">
        <w:rPr>
          <w:b/>
          <w:color w:val="FF0000"/>
        </w:rPr>
        <w:t>:</w:t>
      </w:r>
      <w:r w:rsidRPr="00D73FBE">
        <w:rPr>
          <w:color w:val="FF0000"/>
        </w:rPr>
        <w:t xml:space="preserve"> </w:t>
      </w:r>
    </w:p>
    <w:p w14:paraId="6F64C975" w14:textId="69217830" w:rsidR="00207367" w:rsidRPr="00D73FBE" w:rsidRDefault="00207367" w:rsidP="00663D57">
      <w:pPr>
        <w:pStyle w:val="ListParagraph"/>
        <w:numPr>
          <w:ilvl w:val="0"/>
          <w:numId w:val="3"/>
        </w:numPr>
        <w:rPr>
          <w:color w:val="FF0000"/>
          <w:lang w:val="en-ZA"/>
        </w:rPr>
      </w:pPr>
      <w:r w:rsidRPr="00D73FBE">
        <w:rPr>
          <w:color w:val="FF0000"/>
          <w:lang w:val="en-ZA"/>
        </w:rPr>
        <w:t>Expectant management</w:t>
      </w:r>
    </w:p>
    <w:p w14:paraId="089173C9" w14:textId="434E8957" w:rsidR="00207367" w:rsidRPr="00D73FBE" w:rsidRDefault="00207367" w:rsidP="00663D57">
      <w:pPr>
        <w:pStyle w:val="ListParagraph"/>
        <w:numPr>
          <w:ilvl w:val="0"/>
          <w:numId w:val="3"/>
        </w:numPr>
        <w:rPr>
          <w:color w:val="FF0000"/>
          <w:lang w:val="en-ZA"/>
        </w:rPr>
      </w:pPr>
      <w:r w:rsidRPr="00D73FBE">
        <w:rPr>
          <w:color w:val="FF0000"/>
          <w:lang w:val="en-ZA"/>
        </w:rPr>
        <w:t>Vacuum aspiration: (for uterine size of up to 14 weeks</w:t>
      </w:r>
      <w:r w:rsidR="003B61C2" w:rsidRPr="00D73FBE">
        <w:rPr>
          <w:color w:val="FF0000"/>
          <w:lang w:val="en-ZA"/>
        </w:rPr>
        <w:t xml:space="preserve"> + 0 days</w:t>
      </w:r>
      <w:r w:rsidRPr="00D73FBE">
        <w:rPr>
          <w:color w:val="FF0000"/>
          <w:lang w:val="en-ZA"/>
        </w:rPr>
        <w:t xml:space="preserve"> of gestation) </w:t>
      </w:r>
    </w:p>
    <w:p w14:paraId="4F13973F" w14:textId="4A3C60F3" w:rsidR="00207367" w:rsidRPr="00D73FBE" w:rsidRDefault="00207367" w:rsidP="00663D57">
      <w:pPr>
        <w:pStyle w:val="ListParagraph"/>
        <w:numPr>
          <w:ilvl w:val="0"/>
          <w:numId w:val="3"/>
        </w:numPr>
        <w:rPr>
          <w:color w:val="FF0000"/>
        </w:rPr>
      </w:pPr>
      <w:r w:rsidRPr="00D73FBE">
        <w:rPr>
          <w:color w:val="FF0000"/>
          <w:lang w:val="en-ZA"/>
        </w:rPr>
        <w:t>Management</w:t>
      </w:r>
      <w:r w:rsidRPr="00D73FBE">
        <w:rPr>
          <w:color w:val="FF0000"/>
        </w:rPr>
        <w:t xml:space="preserve"> with misoprostol (for uterine size of up to 13 weeks</w:t>
      </w:r>
      <w:r w:rsidR="003B61C2" w:rsidRPr="00D73FBE">
        <w:rPr>
          <w:color w:val="FF0000"/>
        </w:rPr>
        <w:t xml:space="preserve"> + 0 days</w:t>
      </w:r>
      <w:r w:rsidR="007B4B3E" w:rsidRPr="00D73FBE">
        <w:rPr>
          <w:color w:val="FF0000"/>
        </w:rPr>
        <w:t xml:space="preserve"> gestation). See Table 12</w:t>
      </w:r>
      <w:r w:rsidR="006039F3" w:rsidRPr="00D73FBE">
        <w:rPr>
          <w:color w:val="FF0000"/>
        </w:rPr>
        <w:t xml:space="preserve">. </w:t>
      </w:r>
    </w:p>
    <w:p w14:paraId="406BA092" w14:textId="629BF07C" w:rsidR="006039F3" w:rsidRPr="00D73FBE" w:rsidRDefault="006039F3" w:rsidP="006039F3">
      <w:pPr>
        <w:rPr>
          <w:color w:val="FF0000"/>
        </w:rPr>
      </w:pPr>
    </w:p>
    <w:p w14:paraId="32BA167A" w14:textId="0077F4D2" w:rsidR="007B4B3E" w:rsidRPr="00D73FBE" w:rsidRDefault="007B4B3E" w:rsidP="007B4B3E">
      <w:pPr>
        <w:pStyle w:val="Caption"/>
        <w:keepNext/>
        <w:rPr>
          <w:color w:val="FF0000"/>
          <w:sz w:val="20"/>
        </w:rPr>
      </w:pPr>
      <w:bookmarkStart w:id="105" w:name="_Toc8387230"/>
      <w:r w:rsidRPr="00D73FBE">
        <w:rPr>
          <w:color w:val="FF0000"/>
          <w:sz w:val="20"/>
        </w:rPr>
        <w:t xml:space="preserve">Table </w:t>
      </w:r>
      <w:r w:rsidRPr="00D73FBE">
        <w:rPr>
          <w:color w:val="FF0000"/>
          <w:sz w:val="20"/>
        </w:rPr>
        <w:fldChar w:fldCharType="begin"/>
      </w:r>
      <w:r w:rsidRPr="00D73FBE">
        <w:rPr>
          <w:color w:val="FF0000"/>
          <w:sz w:val="20"/>
        </w:rPr>
        <w:instrText xml:space="preserve"> SEQ Table \* ARABIC </w:instrText>
      </w:r>
      <w:r w:rsidRPr="00D73FBE">
        <w:rPr>
          <w:color w:val="FF0000"/>
          <w:sz w:val="20"/>
        </w:rPr>
        <w:fldChar w:fldCharType="separate"/>
      </w:r>
      <w:r w:rsidRPr="00D73FBE">
        <w:rPr>
          <w:noProof/>
          <w:color w:val="FF0000"/>
          <w:sz w:val="20"/>
        </w:rPr>
        <w:t>11</w:t>
      </w:r>
      <w:r w:rsidRPr="00D73FBE">
        <w:rPr>
          <w:color w:val="FF0000"/>
          <w:sz w:val="20"/>
        </w:rPr>
        <w:fldChar w:fldCharType="end"/>
      </w:r>
      <w:r w:rsidRPr="00D73FBE">
        <w:rPr>
          <w:color w:val="FF0000"/>
          <w:sz w:val="20"/>
        </w:rPr>
        <w:t>. Comparison of management options for missed and incomplete TOP</w:t>
      </w:r>
      <w:bookmarkEnd w:id="105"/>
    </w:p>
    <w:tbl>
      <w:tblPr>
        <w:tblStyle w:val="GridTable4-Accent3"/>
        <w:tblW w:w="0" w:type="auto"/>
        <w:tblLook w:val="04A0" w:firstRow="1" w:lastRow="0" w:firstColumn="1" w:lastColumn="0" w:noHBand="0" w:noVBand="1"/>
      </w:tblPr>
      <w:tblGrid>
        <w:gridCol w:w="1649"/>
        <w:gridCol w:w="2457"/>
        <w:gridCol w:w="108"/>
        <w:gridCol w:w="2426"/>
        <w:gridCol w:w="1324"/>
        <w:gridCol w:w="1386"/>
      </w:tblGrid>
      <w:tr w:rsidR="00D73FBE" w:rsidRPr="00D73FBE" w14:paraId="44340635" w14:textId="389BA9ED" w:rsidTr="007B4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14:paraId="00C7F41E" w14:textId="4A75B28D" w:rsidR="007B4B3E" w:rsidRPr="00D73FBE" w:rsidRDefault="007B4B3E" w:rsidP="00DD228B">
            <w:pPr>
              <w:jc w:val="center"/>
              <w:rPr>
                <w:color w:val="FF0000"/>
              </w:rPr>
            </w:pPr>
            <w:r w:rsidRPr="00D73FBE">
              <w:rPr>
                <w:color w:val="FF0000"/>
              </w:rPr>
              <w:t>Method</w:t>
            </w:r>
          </w:p>
        </w:tc>
        <w:tc>
          <w:tcPr>
            <w:tcW w:w="2565" w:type="dxa"/>
            <w:gridSpan w:val="2"/>
          </w:tcPr>
          <w:p w14:paraId="11ECCAFD" w14:textId="503F383B" w:rsidR="007B4B3E" w:rsidRPr="00D73FBE" w:rsidRDefault="007B4B3E" w:rsidP="00DD228B">
            <w:pPr>
              <w:jc w:val="center"/>
              <w:cnfStyle w:val="100000000000" w:firstRow="1" w:lastRow="0" w:firstColumn="0" w:lastColumn="0" w:oddVBand="0" w:evenVBand="0" w:oddHBand="0" w:evenHBand="0" w:firstRowFirstColumn="0" w:firstRowLastColumn="0" w:lastRowFirstColumn="0" w:lastRowLastColumn="0"/>
              <w:rPr>
                <w:color w:val="FF0000"/>
              </w:rPr>
            </w:pPr>
            <w:r w:rsidRPr="00D73FBE">
              <w:rPr>
                <w:color w:val="FF0000"/>
              </w:rPr>
              <w:t>Potential Advantages</w:t>
            </w:r>
          </w:p>
        </w:tc>
        <w:tc>
          <w:tcPr>
            <w:tcW w:w="2426" w:type="dxa"/>
          </w:tcPr>
          <w:p w14:paraId="79020304" w14:textId="6A9062A0" w:rsidR="007B4B3E" w:rsidRPr="00D73FBE" w:rsidRDefault="007B4B3E" w:rsidP="00DD228B">
            <w:pPr>
              <w:jc w:val="center"/>
              <w:cnfStyle w:val="100000000000" w:firstRow="1" w:lastRow="0" w:firstColumn="0" w:lastColumn="0" w:oddVBand="0" w:evenVBand="0" w:oddHBand="0" w:evenHBand="0" w:firstRowFirstColumn="0" w:firstRowLastColumn="0" w:lastRowFirstColumn="0" w:lastRowLastColumn="0"/>
              <w:rPr>
                <w:color w:val="FF0000"/>
              </w:rPr>
            </w:pPr>
            <w:r w:rsidRPr="00D73FBE">
              <w:rPr>
                <w:color w:val="FF0000"/>
              </w:rPr>
              <w:t>Potential Disadvantages</w:t>
            </w:r>
          </w:p>
        </w:tc>
        <w:tc>
          <w:tcPr>
            <w:tcW w:w="2710" w:type="dxa"/>
            <w:gridSpan w:val="2"/>
          </w:tcPr>
          <w:p w14:paraId="46D2B7EC" w14:textId="36A5938D" w:rsidR="007B4B3E" w:rsidRPr="00D73FBE" w:rsidRDefault="007B4B3E" w:rsidP="00DD228B">
            <w:pPr>
              <w:jc w:val="center"/>
              <w:cnfStyle w:val="100000000000" w:firstRow="1" w:lastRow="0" w:firstColumn="0" w:lastColumn="0" w:oddVBand="0" w:evenVBand="0" w:oddHBand="0" w:evenHBand="0" w:firstRowFirstColumn="0" w:firstRowLastColumn="0" w:lastRowFirstColumn="0" w:lastRowLastColumn="0"/>
              <w:rPr>
                <w:color w:val="FF0000"/>
              </w:rPr>
            </w:pPr>
            <w:r w:rsidRPr="00D73FBE">
              <w:rPr>
                <w:color w:val="FF0000"/>
              </w:rPr>
              <w:t xml:space="preserve">Efficacy </w:t>
            </w:r>
          </w:p>
        </w:tc>
      </w:tr>
      <w:tr w:rsidR="00D73FBE" w:rsidRPr="00D73FBE" w14:paraId="38AA0123" w14:textId="1CE6B5DF" w:rsidTr="007B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14:paraId="1ADEEA5F" w14:textId="67947C7B" w:rsidR="007B4B3E" w:rsidRPr="00D73FBE" w:rsidRDefault="007B4B3E" w:rsidP="00DD228B">
            <w:pPr>
              <w:rPr>
                <w:b w:val="0"/>
                <w:color w:val="FF0000"/>
              </w:rPr>
            </w:pPr>
          </w:p>
        </w:tc>
        <w:tc>
          <w:tcPr>
            <w:tcW w:w="2457" w:type="dxa"/>
          </w:tcPr>
          <w:p w14:paraId="74D208D6" w14:textId="46785965" w:rsidR="007B4B3E" w:rsidRPr="00D73FBE" w:rsidRDefault="007B4B3E" w:rsidP="00DD228B">
            <w:pPr>
              <w:cnfStyle w:val="000000100000" w:firstRow="0" w:lastRow="0" w:firstColumn="0" w:lastColumn="0" w:oddVBand="0" w:evenVBand="0" w:oddHBand="1" w:evenHBand="0" w:firstRowFirstColumn="0" w:firstRowLastColumn="0" w:lastRowFirstColumn="0" w:lastRowLastColumn="0"/>
              <w:rPr>
                <w:color w:val="FF0000"/>
              </w:rPr>
            </w:pPr>
          </w:p>
        </w:tc>
        <w:tc>
          <w:tcPr>
            <w:tcW w:w="2534" w:type="dxa"/>
            <w:gridSpan w:val="2"/>
          </w:tcPr>
          <w:p w14:paraId="2DA98506" w14:textId="77777777" w:rsidR="007B4B3E" w:rsidRPr="00D73FBE" w:rsidRDefault="007B4B3E" w:rsidP="00DD228B">
            <w:pPr>
              <w:cnfStyle w:val="000000100000" w:firstRow="0" w:lastRow="0" w:firstColumn="0" w:lastColumn="0" w:oddVBand="0" w:evenVBand="0" w:oddHBand="1" w:evenHBand="0" w:firstRowFirstColumn="0" w:firstRowLastColumn="0" w:lastRowFirstColumn="0" w:lastRowLastColumn="0"/>
              <w:rPr>
                <w:color w:val="FF0000"/>
              </w:rPr>
            </w:pPr>
          </w:p>
        </w:tc>
        <w:tc>
          <w:tcPr>
            <w:tcW w:w="1324" w:type="dxa"/>
          </w:tcPr>
          <w:p w14:paraId="0A91DABD" w14:textId="65B5A917" w:rsidR="007B4B3E" w:rsidRPr="00D73FBE" w:rsidRDefault="007B4B3E" w:rsidP="007B4B3E">
            <w:pPr>
              <w:jc w:val="center"/>
              <w:cnfStyle w:val="000000100000" w:firstRow="0" w:lastRow="0" w:firstColumn="0" w:lastColumn="0" w:oddVBand="0" w:evenVBand="0" w:oddHBand="1" w:evenHBand="0" w:firstRowFirstColumn="0" w:firstRowLastColumn="0" w:lastRowFirstColumn="0" w:lastRowLastColumn="0"/>
              <w:rPr>
                <w:color w:val="FF0000"/>
              </w:rPr>
            </w:pPr>
            <w:r w:rsidRPr="00D73FBE">
              <w:rPr>
                <w:color w:val="FF0000"/>
              </w:rPr>
              <w:t>Missed</w:t>
            </w:r>
          </w:p>
        </w:tc>
        <w:tc>
          <w:tcPr>
            <w:tcW w:w="1386" w:type="dxa"/>
          </w:tcPr>
          <w:p w14:paraId="59DBFD62" w14:textId="0524C3C8" w:rsidR="007B4B3E" w:rsidRPr="00D73FBE" w:rsidRDefault="007B4B3E" w:rsidP="007B4B3E">
            <w:pPr>
              <w:jc w:val="center"/>
              <w:cnfStyle w:val="000000100000" w:firstRow="0" w:lastRow="0" w:firstColumn="0" w:lastColumn="0" w:oddVBand="0" w:evenVBand="0" w:oddHBand="1" w:evenHBand="0" w:firstRowFirstColumn="0" w:firstRowLastColumn="0" w:lastRowFirstColumn="0" w:lastRowLastColumn="0"/>
              <w:rPr>
                <w:color w:val="FF0000"/>
              </w:rPr>
            </w:pPr>
            <w:r w:rsidRPr="00D73FBE">
              <w:rPr>
                <w:color w:val="FF0000"/>
              </w:rPr>
              <w:t>Incomplete</w:t>
            </w:r>
          </w:p>
        </w:tc>
      </w:tr>
      <w:tr w:rsidR="00D73FBE" w:rsidRPr="00D73FBE" w14:paraId="49A40EC8" w14:textId="77777777" w:rsidTr="007B4B3E">
        <w:tc>
          <w:tcPr>
            <w:cnfStyle w:val="001000000000" w:firstRow="0" w:lastRow="0" w:firstColumn="1" w:lastColumn="0" w:oddVBand="0" w:evenVBand="0" w:oddHBand="0" w:evenHBand="0" w:firstRowFirstColumn="0" w:firstRowLastColumn="0" w:lastRowFirstColumn="0" w:lastRowLastColumn="0"/>
            <w:tcW w:w="1649" w:type="dxa"/>
          </w:tcPr>
          <w:p w14:paraId="0CC6BCFB" w14:textId="4D37A48F" w:rsidR="007B4B3E" w:rsidRPr="00D73FBE" w:rsidRDefault="007B4B3E" w:rsidP="00DD228B">
            <w:pPr>
              <w:rPr>
                <w:b w:val="0"/>
                <w:color w:val="FF0000"/>
                <w:sz w:val="20"/>
                <w:szCs w:val="20"/>
              </w:rPr>
            </w:pPr>
            <w:r w:rsidRPr="00D73FBE">
              <w:rPr>
                <w:b w:val="0"/>
                <w:color w:val="FF0000"/>
                <w:sz w:val="20"/>
                <w:szCs w:val="20"/>
              </w:rPr>
              <w:t xml:space="preserve">Expectant management </w:t>
            </w:r>
          </w:p>
        </w:tc>
        <w:tc>
          <w:tcPr>
            <w:tcW w:w="2457" w:type="dxa"/>
          </w:tcPr>
          <w:p w14:paraId="6D22E52D" w14:textId="77777777" w:rsidR="007B4B3E" w:rsidRPr="00D73FBE" w:rsidRDefault="007B4B3E"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 xml:space="preserve">May minimize visits </w:t>
            </w:r>
          </w:p>
          <w:p w14:paraId="38E770F8" w14:textId="77777777" w:rsidR="007B4B3E" w:rsidRPr="00D73FBE" w:rsidRDefault="007B4B3E"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Avoids side effects and complications of other methods</w:t>
            </w:r>
          </w:p>
          <w:p w14:paraId="3F4C9697" w14:textId="135B2D21" w:rsidR="007B4B3E" w:rsidRPr="00D73FBE" w:rsidRDefault="007B4B3E"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Avoids intrauterine instrumentation</w:t>
            </w:r>
          </w:p>
        </w:tc>
        <w:tc>
          <w:tcPr>
            <w:tcW w:w="2534" w:type="dxa"/>
            <w:gridSpan w:val="2"/>
          </w:tcPr>
          <w:p w14:paraId="34D4CA99" w14:textId="77777777" w:rsidR="007B4B3E" w:rsidRPr="00D73FBE" w:rsidRDefault="007B4B3E"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Unpredictable time frame</w:t>
            </w:r>
          </w:p>
          <w:p w14:paraId="7839FB8A" w14:textId="391AB272" w:rsidR="007B4B3E" w:rsidRPr="00D73FBE" w:rsidRDefault="007B4B3E"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 xml:space="preserve">May still require follow-up aspiration if not successful </w:t>
            </w:r>
          </w:p>
        </w:tc>
        <w:tc>
          <w:tcPr>
            <w:tcW w:w="1324" w:type="dxa"/>
          </w:tcPr>
          <w:p w14:paraId="6373D16B" w14:textId="3A2A1CDC" w:rsidR="007B4B3E" w:rsidRPr="00D73FBE" w:rsidRDefault="007B4B3E" w:rsidP="007B4B3E">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16 to 75%</w:t>
            </w:r>
          </w:p>
        </w:tc>
        <w:tc>
          <w:tcPr>
            <w:tcW w:w="1386" w:type="dxa"/>
          </w:tcPr>
          <w:p w14:paraId="6D35F279" w14:textId="6EB263BB" w:rsidR="007B4B3E" w:rsidRPr="00D73FBE" w:rsidRDefault="007B4B3E" w:rsidP="007B4B3E">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82 to 100%</w:t>
            </w:r>
          </w:p>
        </w:tc>
      </w:tr>
      <w:tr w:rsidR="00D73FBE" w:rsidRPr="00D73FBE" w14:paraId="683BB460" w14:textId="77777777" w:rsidTr="007B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14:paraId="09C75B6D" w14:textId="4FCB67D5" w:rsidR="007B4B3E" w:rsidRPr="00D73FBE" w:rsidRDefault="007B4B3E" w:rsidP="00DD228B">
            <w:pPr>
              <w:rPr>
                <w:b w:val="0"/>
                <w:color w:val="FF0000"/>
                <w:sz w:val="20"/>
                <w:szCs w:val="20"/>
              </w:rPr>
            </w:pPr>
            <w:r w:rsidRPr="00D73FBE">
              <w:rPr>
                <w:b w:val="0"/>
                <w:color w:val="FF0000"/>
                <w:sz w:val="20"/>
                <w:szCs w:val="20"/>
              </w:rPr>
              <w:t>Misoprostol alone</w:t>
            </w:r>
          </w:p>
        </w:tc>
        <w:tc>
          <w:tcPr>
            <w:tcW w:w="2457" w:type="dxa"/>
          </w:tcPr>
          <w:p w14:paraId="400B2722" w14:textId="63FEFFCC" w:rsidR="007B4B3E" w:rsidRPr="00D73FBE" w:rsidRDefault="007B4B3E"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FF0000"/>
                <w:sz w:val="20"/>
                <w:szCs w:val="20"/>
              </w:rPr>
            </w:pPr>
            <w:r w:rsidRPr="00D73FBE">
              <w:rPr>
                <w:color w:val="FF0000"/>
                <w:sz w:val="20"/>
                <w:szCs w:val="20"/>
              </w:rPr>
              <w:t xml:space="preserve">Avoids intrauterine instrumentation </w:t>
            </w:r>
          </w:p>
        </w:tc>
        <w:tc>
          <w:tcPr>
            <w:tcW w:w="2534" w:type="dxa"/>
            <w:gridSpan w:val="2"/>
          </w:tcPr>
          <w:p w14:paraId="54496D9E" w14:textId="77777777" w:rsidR="007B4B3E" w:rsidRPr="00D73FBE" w:rsidRDefault="007B4B3E"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FF0000"/>
                <w:sz w:val="20"/>
                <w:szCs w:val="20"/>
              </w:rPr>
            </w:pPr>
            <w:r w:rsidRPr="00D73FBE">
              <w:rPr>
                <w:color w:val="FF0000"/>
                <w:sz w:val="20"/>
                <w:szCs w:val="20"/>
              </w:rPr>
              <w:t xml:space="preserve">May cause more bleeding and need for follow-up than aspiration </w:t>
            </w:r>
          </w:p>
          <w:p w14:paraId="06E92895" w14:textId="6952653A" w:rsidR="007B4B3E" w:rsidRPr="00D73FBE" w:rsidRDefault="007B4B3E" w:rsidP="008D431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FF0000"/>
                <w:sz w:val="20"/>
                <w:szCs w:val="20"/>
              </w:rPr>
            </w:pPr>
            <w:r w:rsidRPr="00D73FBE">
              <w:rPr>
                <w:color w:val="FF0000"/>
                <w:sz w:val="20"/>
                <w:szCs w:val="20"/>
              </w:rPr>
              <w:lastRenderedPageBreak/>
              <w:t xml:space="preserve">Short-term effects of misoprostol </w:t>
            </w:r>
          </w:p>
        </w:tc>
        <w:tc>
          <w:tcPr>
            <w:tcW w:w="1324" w:type="dxa"/>
          </w:tcPr>
          <w:p w14:paraId="39C69ED1" w14:textId="41CAE470" w:rsidR="007B4B3E" w:rsidRPr="00D73FBE" w:rsidRDefault="007B4B3E" w:rsidP="007B4B3E">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D73FBE">
              <w:rPr>
                <w:color w:val="FF0000"/>
                <w:sz w:val="20"/>
                <w:szCs w:val="20"/>
              </w:rPr>
              <w:lastRenderedPageBreak/>
              <w:t>77 to 89%</w:t>
            </w:r>
          </w:p>
        </w:tc>
        <w:tc>
          <w:tcPr>
            <w:tcW w:w="1386" w:type="dxa"/>
          </w:tcPr>
          <w:p w14:paraId="13C784BB" w14:textId="0A48D1DB" w:rsidR="007B4B3E" w:rsidRPr="00D73FBE" w:rsidRDefault="007B4B3E" w:rsidP="007B4B3E">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D73FBE">
              <w:rPr>
                <w:color w:val="FF0000"/>
                <w:sz w:val="20"/>
                <w:szCs w:val="20"/>
              </w:rPr>
              <w:t>61 to 100%</w:t>
            </w:r>
          </w:p>
        </w:tc>
      </w:tr>
      <w:tr w:rsidR="00D73FBE" w:rsidRPr="00D73FBE" w14:paraId="5F856E9F" w14:textId="77777777" w:rsidTr="007B4B3E">
        <w:tc>
          <w:tcPr>
            <w:cnfStyle w:val="001000000000" w:firstRow="0" w:lastRow="0" w:firstColumn="1" w:lastColumn="0" w:oddVBand="0" w:evenVBand="0" w:oddHBand="0" w:evenHBand="0" w:firstRowFirstColumn="0" w:firstRowLastColumn="0" w:lastRowFirstColumn="0" w:lastRowLastColumn="0"/>
            <w:tcW w:w="1649" w:type="dxa"/>
          </w:tcPr>
          <w:p w14:paraId="3B0590C5" w14:textId="7C3AA3DF" w:rsidR="007B4B3E" w:rsidRPr="00D73FBE" w:rsidRDefault="007B4B3E" w:rsidP="00DD228B">
            <w:pPr>
              <w:rPr>
                <w:b w:val="0"/>
                <w:color w:val="FF0000"/>
                <w:sz w:val="20"/>
                <w:szCs w:val="20"/>
              </w:rPr>
            </w:pPr>
            <w:r w:rsidRPr="00D73FBE">
              <w:rPr>
                <w:b w:val="0"/>
                <w:color w:val="FF0000"/>
                <w:sz w:val="20"/>
                <w:szCs w:val="20"/>
              </w:rPr>
              <w:t>Aspiration</w:t>
            </w:r>
          </w:p>
        </w:tc>
        <w:tc>
          <w:tcPr>
            <w:tcW w:w="2457" w:type="dxa"/>
          </w:tcPr>
          <w:p w14:paraId="5F8FA849" w14:textId="69AA39C2" w:rsidR="007B4B3E" w:rsidRPr="00D73FBE" w:rsidRDefault="007B4B3E"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Quick resolution</w:t>
            </w:r>
          </w:p>
        </w:tc>
        <w:tc>
          <w:tcPr>
            <w:tcW w:w="2534" w:type="dxa"/>
            <w:gridSpan w:val="2"/>
          </w:tcPr>
          <w:p w14:paraId="2537E6BE" w14:textId="69912AF1" w:rsidR="007B4B3E" w:rsidRPr="00D73FBE" w:rsidRDefault="007B4B3E" w:rsidP="008D43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Surgical procedure</w:t>
            </w:r>
          </w:p>
        </w:tc>
        <w:tc>
          <w:tcPr>
            <w:tcW w:w="1324" w:type="dxa"/>
          </w:tcPr>
          <w:p w14:paraId="6C9BC1EA" w14:textId="6F64F612" w:rsidR="007B4B3E" w:rsidRPr="00D73FBE" w:rsidRDefault="007B4B3E" w:rsidP="007B4B3E">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96 to 100%</w:t>
            </w:r>
          </w:p>
        </w:tc>
        <w:tc>
          <w:tcPr>
            <w:tcW w:w="1386" w:type="dxa"/>
          </w:tcPr>
          <w:p w14:paraId="2E6B255F" w14:textId="6E777CC3" w:rsidR="007B4B3E" w:rsidRPr="00D73FBE" w:rsidRDefault="007B4B3E" w:rsidP="007B4B3E">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D73FBE">
              <w:rPr>
                <w:color w:val="FF0000"/>
                <w:sz w:val="20"/>
                <w:szCs w:val="20"/>
              </w:rPr>
              <w:t>96 to 100%</w:t>
            </w:r>
          </w:p>
        </w:tc>
      </w:tr>
    </w:tbl>
    <w:p w14:paraId="313F3F0B" w14:textId="7EE17650" w:rsidR="007B4B3E" w:rsidRPr="00D73FBE" w:rsidRDefault="007B4B3E" w:rsidP="007B4B3E">
      <w:pPr>
        <w:rPr>
          <w:color w:val="FF0000"/>
        </w:rPr>
      </w:pPr>
      <w:r w:rsidRPr="00D73FBE">
        <w:rPr>
          <w:color w:val="FF0000"/>
        </w:rPr>
        <w:t xml:space="preserve">*The efficacy of expectant management increases with increasing interval before intervention. </w:t>
      </w:r>
    </w:p>
    <w:p w14:paraId="2A84D0A0" w14:textId="444463D0" w:rsidR="007B4B3E" w:rsidRPr="00D73FBE" w:rsidRDefault="007B4B3E" w:rsidP="007B4B3E">
      <w:pPr>
        <w:rPr>
          <w:color w:val="FF0000"/>
        </w:rPr>
      </w:pPr>
    </w:p>
    <w:p w14:paraId="0EB60CAA" w14:textId="07572840" w:rsidR="007B4B3E" w:rsidRPr="00D73FBE" w:rsidRDefault="007B4B3E" w:rsidP="007B4B3E">
      <w:pPr>
        <w:rPr>
          <w:color w:val="FF0000"/>
          <w:lang w:val="en-CA"/>
        </w:rPr>
      </w:pPr>
      <w:r w:rsidRPr="00D73FBE">
        <w:rPr>
          <w:i/>
          <w:iCs/>
          <w:color w:val="FF0000"/>
          <w:lang w:val="en-CA"/>
        </w:rPr>
        <w:t>Source</w:t>
      </w:r>
      <w:r w:rsidRPr="00D73FBE">
        <w:rPr>
          <w:color w:val="FF0000"/>
          <w:lang w:val="en-CA"/>
        </w:rPr>
        <w:t xml:space="preserve">: WHO Clinical Practical Handbook for Safe Abortion, table adapted from Goodman S, Wolfe M and the TEACH Trainers Collaborative Working Group. Early abortion training workbook, 3rd ed. San Francisco: UCSF Bixby Center for Reproductive Health Research and Policy; 2007, with permission. </w:t>
      </w:r>
    </w:p>
    <w:p w14:paraId="6F772B74" w14:textId="77777777" w:rsidR="007B4B3E" w:rsidRPr="00D73FBE" w:rsidRDefault="007B4B3E" w:rsidP="006039F3">
      <w:pPr>
        <w:pStyle w:val="Caption"/>
        <w:keepNext/>
        <w:rPr>
          <w:color w:val="FF0000"/>
          <w:sz w:val="20"/>
        </w:rPr>
      </w:pPr>
    </w:p>
    <w:p w14:paraId="3F8F997A" w14:textId="06466FBD" w:rsidR="006039F3" w:rsidRPr="00D73FBE" w:rsidRDefault="006039F3" w:rsidP="006039F3">
      <w:pPr>
        <w:pStyle w:val="Caption"/>
        <w:keepNext/>
        <w:rPr>
          <w:color w:val="FF0000"/>
          <w:sz w:val="20"/>
        </w:rPr>
      </w:pPr>
      <w:bookmarkStart w:id="106" w:name="_Toc8387231"/>
      <w:r w:rsidRPr="00D73FBE">
        <w:rPr>
          <w:color w:val="FF0000"/>
          <w:sz w:val="20"/>
        </w:rPr>
        <w:t xml:space="preserve">Table </w:t>
      </w:r>
      <w:r w:rsidRPr="00D73FBE">
        <w:rPr>
          <w:color w:val="FF0000"/>
          <w:sz w:val="20"/>
        </w:rPr>
        <w:fldChar w:fldCharType="begin"/>
      </w:r>
      <w:r w:rsidRPr="00D73FBE">
        <w:rPr>
          <w:color w:val="FF0000"/>
          <w:sz w:val="20"/>
        </w:rPr>
        <w:instrText xml:space="preserve"> SEQ Table \* ARABIC </w:instrText>
      </w:r>
      <w:r w:rsidRPr="00D73FBE">
        <w:rPr>
          <w:color w:val="FF0000"/>
          <w:sz w:val="20"/>
        </w:rPr>
        <w:fldChar w:fldCharType="separate"/>
      </w:r>
      <w:r w:rsidR="007B4B3E" w:rsidRPr="00D73FBE">
        <w:rPr>
          <w:noProof/>
          <w:color w:val="FF0000"/>
          <w:sz w:val="20"/>
        </w:rPr>
        <w:t>12</w:t>
      </w:r>
      <w:r w:rsidRPr="00D73FBE">
        <w:rPr>
          <w:color w:val="FF0000"/>
          <w:sz w:val="20"/>
        </w:rPr>
        <w:fldChar w:fldCharType="end"/>
      </w:r>
      <w:r w:rsidRPr="00D73FBE">
        <w:rPr>
          <w:color w:val="FF0000"/>
          <w:sz w:val="20"/>
        </w:rPr>
        <w:t>. Recommended regimen of misoprostol for management of incomplete TOP for uterine size &lt;13 weeks + 0 days gestation</w:t>
      </w:r>
      <w:bookmarkEnd w:id="106"/>
    </w:p>
    <w:tbl>
      <w:tblPr>
        <w:tblStyle w:val="GridTable4-Accent3"/>
        <w:tblW w:w="0" w:type="auto"/>
        <w:tblLook w:val="04A0" w:firstRow="1" w:lastRow="0" w:firstColumn="1" w:lastColumn="0" w:noHBand="0" w:noVBand="1"/>
      </w:tblPr>
      <w:tblGrid>
        <w:gridCol w:w="1555"/>
        <w:gridCol w:w="7795"/>
      </w:tblGrid>
      <w:tr w:rsidR="00D73FBE" w:rsidRPr="00D73FBE" w14:paraId="5F79D1EA" w14:textId="77777777" w:rsidTr="00603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2FFBECE" w14:textId="77777777" w:rsidR="006039F3" w:rsidRPr="00D73FBE" w:rsidRDefault="006039F3" w:rsidP="00DD228B">
            <w:pPr>
              <w:jc w:val="center"/>
              <w:rPr>
                <w:color w:val="FF0000"/>
              </w:rPr>
            </w:pPr>
            <w:r w:rsidRPr="00D73FBE">
              <w:rPr>
                <w:color w:val="FF0000"/>
              </w:rPr>
              <w:t>Dose (μg)</w:t>
            </w:r>
          </w:p>
        </w:tc>
        <w:tc>
          <w:tcPr>
            <w:tcW w:w="7795" w:type="dxa"/>
          </w:tcPr>
          <w:p w14:paraId="2847A460" w14:textId="77777777" w:rsidR="006039F3" w:rsidRPr="00D73FBE" w:rsidRDefault="006039F3" w:rsidP="00DD228B">
            <w:pPr>
              <w:jc w:val="center"/>
              <w:cnfStyle w:val="100000000000" w:firstRow="1" w:lastRow="0" w:firstColumn="0" w:lastColumn="0" w:oddVBand="0" w:evenVBand="0" w:oddHBand="0" w:evenHBand="0" w:firstRowFirstColumn="0" w:firstRowLastColumn="0" w:lastRowFirstColumn="0" w:lastRowLastColumn="0"/>
              <w:rPr>
                <w:color w:val="FF0000"/>
              </w:rPr>
            </w:pPr>
            <w:r w:rsidRPr="00D73FBE">
              <w:rPr>
                <w:color w:val="FF0000"/>
              </w:rPr>
              <w:t>Route</w:t>
            </w:r>
          </w:p>
        </w:tc>
      </w:tr>
      <w:tr w:rsidR="00D73FBE" w:rsidRPr="00D73FBE" w14:paraId="6CA846DA" w14:textId="77777777" w:rsidTr="00603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F76E316" w14:textId="77777777" w:rsidR="006039F3" w:rsidRPr="00D73FBE" w:rsidRDefault="006039F3" w:rsidP="00DD228B">
            <w:pPr>
              <w:rPr>
                <w:b w:val="0"/>
                <w:color w:val="FF0000"/>
              </w:rPr>
            </w:pPr>
            <w:r w:rsidRPr="00D73FBE">
              <w:rPr>
                <w:b w:val="0"/>
                <w:color w:val="FF0000"/>
              </w:rPr>
              <w:t>600 μg</w:t>
            </w:r>
          </w:p>
        </w:tc>
        <w:tc>
          <w:tcPr>
            <w:tcW w:w="7795" w:type="dxa"/>
          </w:tcPr>
          <w:p w14:paraId="6EF29E1A" w14:textId="77777777" w:rsidR="006039F3" w:rsidRPr="00D73FBE" w:rsidRDefault="006039F3" w:rsidP="00DD228B">
            <w:pPr>
              <w:cnfStyle w:val="000000100000" w:firstRow="0" w:lastRow="0" w:firstColumn="0" w:lastColumn="0" w:oddVBand="0" w:evenVBand="0" w:oddHBand="1" w:evenHBand="0" w:firstRowFirstColumn="0" w:firstRowLastColumn="0" w:lastRowFirstColumn="0" w:lastRowLastColumn="0"/>
              <w:rPr>
                <w:color w:val="FF0000"/>
              </w:rPr>
            </w:pPr>
            <w:r w:rsidRPr="00D73FBE">
              <w:rPr>
                <w:color w:val="FF0000"/>
              </w:rPr>
              <w:t xml:space="preserve">Oral </w:t>
            </w:r>
          </w:p>
        </w:tc>
      </w:tr>
      <w:tr w:rsidR="00D73FBE" w:rsidRPr="00D73FBE" w14:paraId="2D97A2A1" w14:textId="77777777" w:rsidTr="006039F3">
        <w:tc>
          <w:tcPr>
            <w:cnfStyle w:val="001000000000" w:firstRow="0" w:lastRow="0" w:firstColumn="1" w:lastColumn="0" w:oddVBand="0" w:evenVBand="0" w:oddHBand="0" w:evenHBand="0" w:firstRowFirstColumn="0" w:firstRowLastColumn="0" w:lastRowFirstColumn="0" w:lastRowLastColumn="0"/>
            <w:tcW w:w="1555" w:type="dxa"/>
          </w:tcPr>
          <w:p w14:paraId="0EB2F955" w14:textId="77777777" w:rsidR="006039F3" w:rsidRPr="00D73FBE" w:rsidRDefault="006039F3" w:rsidP="00DD228B">
            <w:pPr>
              <w:rPr>
                <w:b w:val="0"/>
                <w:color w:val="FF0000"/>
              </w:rPr>
            </w:pPr>
            <w:r w:rsidRPr="00D73FBE">
              <w:rPr>
                <w:b w:val="0"/>
                <w:color w:val="FF0000"/>
              </w:rPr>
              <w:t>400 μg</w:t>
            </w:r>
          </w:p>
        </w:tc>
        <w:tc>
          <w:tcPr>
            <w:tcW w:w="7795" w:type="dxa"/>
          </w:tcPr>
          <w:p w14:paraId="0313E728" w14:textId="77777777" w:rsidR="006039F3" w:rsidRPr="00D73FBE" w:rsidRDefault="006039F3" w:rsidP="00DD228B">
            <w:pPr>
              <w:cnfStyle w:val="000000000000" w:firstRow="0" w:lastRow="0" w:firstColumn="0" w:lastColumn="0" w:oddVBand="0" w:evenVBand="0" w:oddHBand="0" w:evenHBand="0" w:firstRowFirstColumn="0" w:firstRowLastColumn="0" w:lastRowFirstColumn="0" w:lastRowLastColumn="0"/>
              <w:rPr>
                <w:color w:val="FF0000"/>
              </w:rPr>
            </w:pPr>
            <w:r w:rsidRPr="00D73FBE">
              <w:rPr>
                <w:color w:val="FF0000"/>
              </w:rPr>
              <w:t xml:space="preserve">Sublingual </w:t>
            </w:r>
          </w:p>
        </w:tc>
      </w:tr>
      <w:tr w:rsidR="00D73FBE" w:rsidRPr="00D73FBE" w14:paraId="4BB76EEB" w14:textId="77777777" w:rsidTr="00603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A07422" w14:textId="67C218E0" w:rsidR="007B4B3E" w:rsidRPr="00D73FBE" w:rsidRDefault="007B4B3E" w:rsidP="00DD228B">
            <w:pPr>
              <w:rPr>
                <w:b w:val="0"/>
                <w:color w:val="FF0000"/>
              </w:rPr>
            </w:pPr>
            <w:r w:rsidRPr="00D73FBE">
              <w:rPr>
                <w:b w:val="0"/>
                <w:color w:val="FF0000"/>
              </w:rPr>
              <w:t>400-800 μg</w:t>
            </w:r>
          </w:p>
        </w:tc>
        <w:tc>
          <w:tcPr>
            <w:tcW w:w="7795" w:type="dxa"/>
          </w:tcPr>
          <w:p w14:paraId="5F93FF56" w14:textId="6A6E47EA" w:rsidR="007B4B3E" w:rsidRPr="00D73FBE" w:rsidRDefault="007B4B3E" w:rsidP="00DD228B">
            <w:pPr>
              <w:cnfStyle w:val="000000100000" w:firstRow="0" w:lastRow="0" w:firstColumn="0" w:lastColumn="0" w:oddVBand="0" w:evenVBand="0" w:oddHBand="1" w:evenHBand="0" w:firstRowFirstColumn="0" w:firstRowLastColumn="0" w:lastRowFirstColumn="0" w:lastRowLastColumn="0"/>
              <w:rPr>
                <w:color w:val="FF0000"/>
              </w:rPr>
            </w:pPr>
            <w:r w:rsidRPr="00D73FBE">
              <w:rPr>
                <w:color w:val="FF0000"/>
              </w:rPr>
              <w:t>Vaginal; may be used if vaginal bleeding is minimal</w:t>
            </w:r>
          </w:p>
        </w:tc>
      </w:tr>
      <w:tr w:rsidR="00D73FBE" w:rsidRPr="00D73FBE" w14:paraId="0DE86A40" w14:textId="77777777" w:rsidTr="00DD228B">
        <w:tc>
          <w:tcPr>
            <w:cnfStyle w:val="001000000000" w:firstRow="0" w:lastRow="0" w:firstColumn="1" w:lastColumn="0" w:oddVBand="0" w:evenVBand="0" w:oddHBand="0" w:evenHBand="0" w:firstRowFirstColumn="0" w:firstRowLastColumn="0" w:lastRowFirstColumn="0" w:lastRowLastColumn="0"/>
            <w:tcW w:w="9350" w:type="dxa"/>
            <w:gridSpan w:val="2"/>
          </w:tcPr>
          <w:p w14:paraId="2D46BDB4" w14:textId="77777777" w:rsidR="006039F3" w:rsidRPr="00D73FBE" w:rsidRDefault="006039F3" w:rsidP="00DD228B">
            <w:pPr>
              <w:rPr>
                <w:b w:val="0"/>
                <w:color w:val="FF0000"/>
              </w:rPr>
            </w:pPr>
            <w:r w:rsidRPr="00D73FBE">
              <w:rPr>
                <w:rFonts w:eastAsia="Times New Roman" w:cs="Calibri"/>
                <w:color w:val="FF0000"/>
                <w:sz w:val="20"/>
                <w:szCs w:val="20"/>
                <w:lang w:val="en-US"/>
              </w:rPr>
              <w:t>Note:</w:t>
            </w:r>
            <w:r w:rsidRPr="00D73FBE">
              <w:rPr>
                <w:rFonts w:ascii="Times New Roman" w:eastAsia="Times New Roman" w:hAnsi="Times New Roman" w:cs="Times New Roman"/>
                <w:b w:val="0"/>
                <w:color w:val="FF0000"/>
                <w:sz w:val="20"/>
                <w:szCs w:val="20"/>
                <w:lang w:val="en-US"/>
              </w:rPr>
              <w:t xml:space="preserve"> </w:t>
            </w:r>
            <w:r w:rsidRPr="00D73FBE">
              <w:rPr>
                <w:rFonts w:eastAsia="Times New Roman" w:cs="Calibri"/>
                <w:b w:val="0"/>
                <w:color w:val="FF0000"/>
                <w:sz w:val="20"/>
                <w:szCs w:val="20"/>
                <w:lang w:val="en-US"/>
              </w:rPr>
              <w:t xml:space="preserve">Repeat doses of misoprostol can be considered when needed to achieve success of the TOP process. Incomplete TOP </w:t>
            </w:r>
            <w:r w:rsidRPr="00D73FBE">
              <w:rPr>
                <w:rFonts w:eastAsia="Times New Roman" w:cs="Calibri"/>
                <w:b w:val="0"/>
                <w:color w:val="FF0000"/>
                <w:sz w:val="20"/>
                <w:szCs w:val="20"/>
                <w:lang w:val="en-US"/>
              </w:rPr>
              <w:sym w:font="Symbol" w:char="F0B3"/>
            </w:r>
            <w:r w:rsidRPr="00D73FBE">
              <w:rPr>
                <w:rFonts w:eastAsia="Times New Roman" w:cs="Calibri"/>
                <w:b w:val="0"/>
                <w:color w:val="FF0000"/>
                <w:sz w:val="20"/>
                <w:szCs w:val="20"/>
                <w:lang w:val="en-US"/>
              </w:rPr>
              <w:t xml:space="preserve">13 weeks + 1 day may be treated using misoprostol 400 </w:t>
            </w:r>
            <w:r w:rsidRPr="00D73FBE">
              <w:rPr>
                <w:b w:val="0"/>
                <w:color w:val="FF0000"/>
              </w:rPr>
              <w:t>μg</w:t>
            </w:r>
            <w:r w:rsidRPr="00D73FBE">
              <w:rPr>
                <w:rFonts w:eastAsia="Times New Roman" w:cs="Calibri"/>
                <w:b w:val="0"/>
                <w:color w:val="FF0000"/>
                <w:sz w:val="20"/>
                <w:szCs w:val="20"/>
                <w:lang w:val="en-US"/>
              </w:rPr>
              <w:t xml:space="preserve"> administered sublingually, vaginally, or buccally every 3 hours.   </w:t>
            </w:r>
          </w:p>
        </w:tc>
      </w:tr>
    </w:tbl>
    <w:p w14:paraId="1365B2F8" w14:textId="77777777" w:rsidR="006039F3" w:rsidRDefault="006039F3" w:rsidP="006039F3"/>
    <w:p w14:paraId="0A035B64" w14:textId="5204DD5A" w:rsidR="00D4185F" w:rsidRDefault="00D4185F" w:rsidP="00D76A18"/>
    <w:p w14:paraId="7CA09DBD" w14:textId="4089DA4B" w:rsidR="008E7549" w:rsidRDefault="008E7549" w:rsidP="008E7549">
      <w:pPr>
        <w:rPr>
          <w:b/>
          <w:i/>
        </w:rPr>
      </w:pPr>
      <w:r w:rsidRPr="004D5281">
        <w:rPr>
          <w:b/>
          <w:i/>
        </w:rPr>
        <w:t xml:space="preserve">Management of </w:t>
      </w:r>
      <w:r>
        <w:rPr>
          <w:b/>
          <w:i/>
        </w:rPr>
        <w:t xml:space="preserve">intrauterine fetal demise at </w:t>
      </w:r>
      <w:r w:rsidRPr="008E7549">
        <w:rPr>
          <w:b/>
          <w:i/>
          <w:u w:val="single"/>
        </w:rPr>
        <w:t>&gt;</w:t>
      </w:r>
      <w:r>
        <w:rPr>
          <w:b/>
          <w:i/>
        </w:rPr>
        <w:t xml:space="preserve">14 weeks + 0 days to </w:t>
      </w:r>
      <w:r w:rsidRPr="008E7549">
        <w:rPr>
          <w:b/>
          <w:i/>
          <w:u w:val="single"/>
        </w:rPr>
        <w:t>&lt;</w:t>
      </w:r>
      <w:r>
        <w:rPr>
          <w:b/>
          <w:i/>
        </w:rPr>
        <w:t xml:space="preserve">28 weeks + 0 days of gestation </w:t>
      </w:r>
    </w:p>
    <w:p w14:paraId="038832FC" w14:textId="1B85FD09" w:rsidR="008E7549" w:rsidRDefault="008E7549" w:rsidP="008E7549">
      <w:r>
        <w:t xml:space="preserve">Fetal demise refers to situations in which the fetus is no longer alive, but the uterus has not yet started to expel its contents and the cervical os remains closed. </w:t>
      </w:r>
      <w:r w:rsidR="00BA62E4">
        <w:t xml:space="preserve">The diagnosis is made by ultrasound scan following the clinical findings, which can include vaginal bleeding, absent fetal heart sounds on electronic auscultation, a failure to feel fetal movements or a uterus that is significantly smaller than the expected size. </w:t>
      </w:r>
    </w:p>
    <w:p w14:paraId="7E48F49E" w14:textId="77777777" w:rsidR="00BA62E4" w:rsidRPr="008E7549" w:rsidRDefault="00BA62E4" w:rsidP="008E7549"/>
    <w:tbl>
      <w:tblPr>
        <w:tblStyle w:val="GridTable4-Accent3"/>
        <w:tblW w:w="10012" w:type="dxa"/>
        <w:tblLook w:val="04A0" w:firstRow="1" w:lastRow="0" w:firstColumn="1" w:lastColumn="0" w:noHBand="0" w:noVBand="1"/>
      </w:tblPr>
      <w:tblGrid>
        <w:gridCol w:w="2122"/>
        <w:gridCol w:w="1984"/>
        <w:gridCol w:w="5906"/>
      </w:tblGrid>
      <w:tr w:rsidR="008E7549" w:rsidRPr="00D73FBE" w14:paraId="43FCC64D" w14:textId="77777777" w:rsidTr="00DD228B">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122" w:type="dxa"/>
            <w:shd w:val="clear" w:color="auto" w:fill="AEAAAA" w:themeFill="background2" w:themeFillShade="BF"/>
          </w:tcPr>
          <w:p w14:paraId="4C5BED0B" w14:textId="77777777" w:rsidR="008E7549" w:rsidRPr="00FD1801" w:rsidRDefault="008E7549" w:rsidP="00DD228B">
            <w:pPr>
              <w:rPr>
                <w:color w:val="000000" w:themeColor="text1"/>
              </w:rPr>
            </w:pPr>
            <w:r w:rsidRPr="00FD1801">
              <w:rPr>
                <w:color w:val="000000" w:themeColor="text1"/>
              </w:rPr>
              <w:t>Stage</w:t>
            </w:r>
          </w:p>
        </w:tc>
        <w:tc>
          <w:tcPr>
            <w:tcW w:w="1984" w:type="dxa"/>
            <w:shd w:val="clear" w:color="auto" w:fill="AEAAAA" w:themeFill="background2" w:themeFillShade="BF"/>
          </w:tcPr>
          <w:p w14:paraId="7DA19D67" w14:textId="77777777" w:rsidR="008E7549" w:rsidRPr="00D73FBE" w:rsidRDefault="008E7549" w:rsidP="00DD228B">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Method</w:t>
            </w:r>
          </w:p>
        </w:tc>
        <w:tc>
          <w:tcPr>
            <w:tcW w:w="5906" w:type="dxa"/>
            <w:shd w:val="clear" w:color="auto" w:fill="AEAAAA" w:themeFill="background2" w:themeFillShade="BF"/>
          </w:tcPr>
          <w:p w14:paraId="3C207387" w14:textId="77777777" w:rsidR="008E7549" w:rsidRPr="00D73FBE" w:rsidRDefault="008E7549" w:rsidP="00DD228B">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Clinical Guidance  </w:t>
            </w:r>
          </w:p>
        </w:tc>
      </w:tr>
      <w:tr w:rsidR="008E7549" w:rsidRPr="00D73FBE" w14:paraId="627E382D" w14:textId="77777777" w:rsidTr="00DD228B">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53506405" w14:textId="78C12C04" w:rsidR="008E7549" w:rsidRPr="00D73FBE" w:rsidRDefault="00BA62E4" w:rsidP="00DD228B">
            <w:pPr>
              <w:rPr>
                <w:bCs w:val="0"/>
                <w:color w:val="000000" w:themeColor="text1"/>
                <w:sz w:val="20"/>
                <w:szCs w:val="20"/>
              </w:rPr>
            </w:pPr>
            <w:r>
              <w:rPr>
                <w:b w:val="0"/>
                <w:color w:val="000000" w:themeColor="text1"/>
                <w:sz w:val="20"/>
                <w:szCs w:val="20"/>
              </w:rPr>
              <w:t>Uterine size is</w:t>
            </w:r>
            <w:r w:rsidR="008E7549" w:rsidRPr="00D73FBE">
              <w:rPr>
                <w:b w:val="0"/>
                <w:color w:val="000000" w:themeColor="text1"/>
                <w:sz w:val="20"/>
                <w:szCs w:val="20"/>
              </w:rPr>
              <w:t xml:space="preserve"> </w:t>
            </w:r>
            <w:r w:rsidRPr="00BA62E4">
              <w:rPr>
                <w:b w:val="0"/>
                <w:color w:val="000000" w:themeColor="text1"/>
                <w:sz w:val="20"/>
                <w:szCs w:val="20"/>
                <w:u w:val="single"/>
              </w:rPr>
              <w:t>&gt;</w:t>
            </w:r>
            <w:r>
              <w:rPr>
                <w:b w:val="0"/>
                <w:color w:val="000000" w:themeColor="text1"/>
                <w:sz w:val="20"/>
                <w:szCs w:val="20"/>
              </w:rPr>
              <w:t xml:space="preserve">14 weeks + 0 days to </w:t>
            </w:r>
            <w:r w:rsidRPr="00BA62E4">
              <w:rPr>
                <w:b w:val="0"/>
                <w:color w:val="000000" w:themeColor="text1"/>
                <w:sz w:val="20"/>
                <w:szCs w:val="20"/>
                <w:u w:val="single"/>
              </w:rPr>
              <w:t>&lt;</w:t>
            </w:r>
            <w:r>
              <w:rPr>
                <w:b w:val="0"/>
                <w:color w:val="000000" w:themeColor="text1"/>
                <w:sz w:val="20"/>
                <w:szCs w:val="20"/>
              </w:rPr>
              <w:t xml:space="preserve">28 </w:t>
            </w:r>
            <w:r w:rsidR="008E7549" w:rsidRPr="00D73FBE">
              <w:rPr>
                <w:b w:val="0"/>
                <w:color w:val="000000" w:themeColor="text1"/>
                <w:sz w:val="20"/>
                <w:szCs w:val="20"/>
              </w:rPr>
              <w:t xml:space="preserve">weeks + 0 days  </w:t>
            </w:r>
          </w:p>
          <w:p w14:paraId="4E19EACF" w14:textId="77777777" w:rsidR="008E7549" w:rsidRPr="00D73FBE" w:rsidRDefault="008E7549" w:rsidP="00DD228B">
            <w:pPr>
              <w:rPr>
                <w:b w:val="0"/>
                <w:color w:val="000000" w:themeColor="text1"/>
                <w:sz w:val="20"/>
                <w:szCs w:val="20"/>
              </w:rPr>
            </w:pPr>
          </w:p>
        </w:tc>
        <w:tc>
          <w:tcPr>
            <w:tcW w:w="1984" w:type="dxa"/>
          </w:tcPr>
          <w:p w14:paraId="5351DC9E" w14:textId="77777777" w:rsidR="008E7549" w:rsidRPr="00D73FBE" w:rsidRDefault="008E7549" w:rsidP="00DD228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Uterine evacuation with vacuum aspiration </w:t>
            </w:r>
          </w:p>
        </w:tc>
        <w:tc>
          <w:tcPr>
            <w:tcW w:w="5906" w:type="dxa"/>
          </w:tcPr>
          <w:p w14:paraId="068975F0" w14:textId="77777777" w:rsidR="008E7549" w:rsidRPr="00D73FBE" w:rsidRDefault="008E7549" w:rsidP="00DD228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Antibiotic prophylaxis should be given before surgical evaluation (200 mg doxycycline or a single dose of 500 mg azithromycin within 2 hours before the procedure). Note: If antibiotics are not available, the procedure </w:t>
            </w:r>
            <w:r w:rsidRPr="008B0137">
              <w:rPr>
                <w:i/>
                <w:color w:val="000000" w:themeColor="text1"/>
                <w:sz w:val="20"/>
                <w:szCs w:val="20"/>
              </w:rPr>
              <w:t>should not</w:t>
            </w:r>
            <w:r>
              <w:rPr>
                <w:color w:val="000000" w:themeColor="text1"/>
                <w:sz w:val="20"/>
                <w:szCs w:val="20"/>
              </w:rPr>
              <w:t xml:space="preserve"> be delayed.</w:t>
            </w:r>
            <w:r w:rsidRPr="00D73FBE">
              <w:rPr>
                <w:color w:val="000000" w:themeColor="text1"/>
                <w:sz w:val="20"/>
                <w:szCs w:val="20"/>
              </w:rPr>
              <w:t xml:space="preserve"> </w:t>
            </w:r>
          </w:p>
        </w:tc>
      </w:tr>
      <w:tr w:rsidR="008E7549" w:rsidRPr="00D73FBE" w14:paraId="3F808562" w14:textId="77777777" w:rsidTr="00DD228B">
        <w:trPr>
          <w:trHeight w:val="409"/>
        </w:trPr>
        <w:tc>
          <w:tcPr>
            <w:cnfStyle w:val="001000000000" w:firstRow="0" w:lastRow="0" w:firstColumn="1" w:lastColumn="0" w:oddVBand="0" w:evenVBand="0" w:oddHBand="0" w:evenHBand="0" w:firstRowFirstColumn="0" w:firstRowLastColumn="0" w:lastRowFirstColumn="0" w:lastRowLastColumn="0"/>
            <w:tcW w:w="2122" w:type="dxa"/>
            <w:vMerge/>
          </w:tcPr>
          <w:p w14:paraId="1F3DF4D6" w14:textId="77777777" w:rsidR="008E7549" w:rsidRPr="00D73FBE" w:rsidRDefault="008E7549" w:rsidP="00DD228B">
            <w:pPr>
              <w:rPr>
                <w:b w:val="0"/>
                <w:color w:val="000000" w:themeColor="text1"/>
                <w:sz w:val="20"/>
                <w:szCs w:val="20"/>
              </w:rPr>
            </w:pPr>
          </w:p>
        </w:tc>
        <w:tc>
          <w:tcPr>
            <w:tcW w:w="1984" w:type="dxa"/>
          </w:tcPr>
          <w:p w14:paraId="26E66B18" w14:textId="6E036192" w:rsidR="008E7549" w:rsidRPr="00D73FBE" w:rsidRDefault="00BA62E4" w:rsidP="00DD228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Combined mifepristone and m</w:t>
            </w:r>
            <w:r w:rsidR="008E7549">
              <w:rPr>
                <w:color w:val="000000" w:themeColor="text1"/>
                <w:sz w:val="20"/>
                <w:szCs w:val="20"/>
              </w:rPr>
              <w:t xml:space="preserve">isoprostol </w:t>
            </w:r>
          </w:p>
        </w:tc>
        <w:tc>
          <w:tcPr>
            <w:tcW w:w="5906" w:type="dxa"/>
          </w:tcPr>
          <w:p w14:paraId="57A34EBD" w14:textId="06131FD8" w:rsidR="00BA62E4" w:rsidRDefault="00BA62E4" w:rsidP="00BA62E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Mifepristone: 200 mg, orally, single dose, a minimum of 24 hours before misoprostol is administered. </w:t>
            </w:r>
          </w:p>
          <w:p w14:paraId="27C1764B" w14:textId="77777777" w:rsidR="00BA62E4" w:rsidRDefault="00BA62E4" w:rsidP="00BA62E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25BC404" w14:textId="4667FA99" w:rsidR="008E7549" w:rsidRDefault="00BA62E4" w:rsidP="00DD228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Misoprostol: 400 </w:t>
            </w:r>
            <w:r w:rsidRPr="008B0137">
              <w:rPr>
                <w:color w:val="000000" w:themeColor="text1"/>
                <w:sz w:val="20"/>
                <w:szCs w:val="20"/>
              </w:rPr>
              <w:t>μg</w:t>
            </w:r>
            <w:r>
              <w:rPr>
                <w:color w:val="000000" w:themeColor="text1"/>
                <w:sz w:val="20"/>
                <w:szCs w:val="20"/>
              </w:rPr>
              <w:t xml:space="preserve"> administered vaginally or sublingually every 4 to 6 hours.  </w:t>
            </w:r>
            <w:r w:rsidR="008E7549">
              <w:rPr>
                <w:color w:val="000000" w:themeColor="text1"/>
                <w:sz w:val="20"/>
                <w:szCs w:val="20"/>
              </w:rPr>
              <w:t xml:space="preserve">Repeat doses can be considered when needed to achieve success of the TOP process. There is no maximum number of doses of misoprostol. </w:t>
            </w:r>
          </w:p>
          <w:p w14:paraId="467CDEEA" w14:textId="53711625" w:rsidR="00BA62E4" w:rsidRPr="00DD228B" w:rsidRDefault="00BA62E4" w:rsidP="008D431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lastRenderedPageBreak/>
              <w:t xml:space="preserve">For misoprostol only regimen, repeat doses of 400 </w:t>
            </w:r>
            <w:r w:rsidRPr="008B0137">
              <w:rPr>
                <w:color w:val="000000" w:themeColor="text1"/>
                <w:sz w:val="20"/>
                <w:szCs w:val="20"/>
              </w:rPr>
              <w:t>μg</w:t>
            </w:r>
            <w:r>
              <w:rPr>
                <w:color w:val="000000" w:themeColor="text1"/>
                <w:sz w:val="20"/>
                <w:szCs w:val="20"/>
              </w:rPr>
              <w:t>, administered sublingually</w:t>
            </w:r>
            <w:r w:rsidR="00DD228B">
              <w:rPr>
                <w:color w:val="000000" w:themeColor="text1"/>
                <w:sz w:val="20"/>
                <w:szCs w:val="20"/>
              </w:rPr>
              <w:t xml:space="preserve"> (preferred) or vaginally</w:t>
            </w:r>
            <w:r>
              <w:rPr>
                <w:color w:val="000000" w:themeColor="text1"/>
                <w:sz w:val="20"/>
                <w:szCs w:val="20"/>
              </w:rPr>
              <w:t xml:space="preserve"> every 4 to 6 hours. </w:t>
            </w:r>
          </w:p>
        </w:tc>
      </w:tr>
    </w:tbl>
    <w:p w14:paraId="3C8605FD" w14:textId="77777777" w:rsidR="008E7549" w:rsidRDefault="008E7549" w:rsidP="00A210FB">
      <w:pPr>
        <w:rPr>
          <w:b/>
        </w:rPr>
      </w:pPr>
    </w:p>
    <w:p w14:paraId="2D1497D3" w14:textId="37FE9424" w:rsidR="00A210FB" w:rsidRPr="0059674E" w:rsidRDefault="00A210FB" w:rsidP="00A210FB">
      <w:pPr>
        <w:rPr>
          <w:b/>
          <w:i/>
        </w:rPr>
      </w:pPr>
      <w:r w:rsidRPr="0059674E">
        <w:rPr>
          <w:b/>
          <w:i/>
        </w:rPr>
        <w:t>Post-TOP haemorrhage</w:t>
      </w:r>
    </w:p>
    <w:p w14:paraId="0A113A18" w14:textId="462CE810" w:rsidR="00A210FB" w:rsidRDefault="00AC051F" w:rsidP="00A210FB">
      <w:pPr>
        <w:rPr>
          <w:szCs w:val="22"/>
        </w:rPr>
      </w:pPr>
      <w:r>
        <w:rPr>
          <w:szCs w:val="22"/>
        </w:rPr>
        <w:t>Haemorrhage can result from retained product</w:t>
      </w:r>
      <w:r w:rsidR="00B46F47">
        <w:rPr>
          <w:szCs w:val="22"/>
        </w:rPr>
        <w:t>s</w:t>
      </w:r>
      <w:r>
        <w:rPr>
          <w:szCs w:val="22"/>
        </w:rPr>
        <w:t xml:space="preserve"> of conception, trauma or damage to the cervix, coagulopathy, or rarely, uterine perforation or uterine rupture. </w:t>
      </w:r>
      <w:r w:rsidR="00A210FB">
        <w:rPr>
          <w:szCs w:val="22"/>
        </w:rPr>
        <w:t>This should be managed in the same way as post-partum haemorrhage (PPH), and as such</w:t>
      </w:r>
      <w:r w:rsidR="00FB1B8C">
        <w:rPr>
          <w:szCs w:val="22"/>
        </w:rPr>
        <w:t>,</w:t>
      </w:r>
      <w:r w:rsidR="00A210FB">
        <w:rPr>
          <w:szCs w:val="22"/>
        </w:rPr>
        <w:t xml:space="preserve"> the PPH algorithm should be followed. </w:t>
      </w:r>
      <w:r w:rsidR="00A210FB" w:rsidRPr="008F0725">
        <w:rPr>
          <w:szCs w:val="22"/>
        </w:rPr>
        <w:t xml:space="preserve">Episodes of heavy bleeding are common during medical </w:t>
      </w:r>
      <w:r w:rsidR="00A210FB">
        <w:rPr>
          <w:szCs w:val="22"/>
        </w:rPr>
        <w:t>TOP</w:t>
      </w:r>
      <w:r w:rsidR="00A210FB" w:rsidRPr="008F0725">
        <w:rPr>
          <w:szCs w:val="22"/>
        </w:rPr>
        <w:t xml:space="preserve">, and bleeding complaints will </w:t>
      </w:r>
      <w:r w:rsidR="00A210FB">
        <w:rPr>
          <w:szCs w:val="22"/>
        </w:rPr>
        <w:t xml:space="preserve">likely </w:t>
      </w:r>
      <w:r w:rsidR="00A210FB" w:rsidRPr="008F0725">
        <w:rPr>
          <w:szCs w:val="22"/>
        </w:rPr>
        <w:t xml:space="preserve">constitute the greatest proportion of triage and management tasks for </w:t>
      </w:r>
      <w:r w:rsidR="000117FB">
        <w:rPr>
          <w:szCs w:val="22"/>
        </w:rPr>
        <w:t>health care professionals</w:t>
      </w:r>
      <w:r w:rsidR="00A210FB" w:rsidRPr="008F0725">
        <w:rPr>
          <w:szCs w:val="22"/>
        </w:rPr>
        <w:t xml:space="preserve"> involved in these services. </w:t>
      </w:r>
    </w:p>
    <w:p w14:paraId="51EE6649" w14:textId="77777777" w:rsidR="00A210FB" w:rsidRPr="00A210FB" w:rsidRDefault="00A210FB" w:rsidP="008D431E">
      <w:pPr>
        <w:pStyle w:val="ListParagraph"/>
        <w:numPr>
          <w:ilvl w:val="0"/>
          <w:numId w:val="19"/>
        </w:numPr>
        <w:rPr>
          <w:color w:val="000000"/>
          <w:szCs w:val="22"/>
          <w:shd w:val="clear" w:color="auto" w:fill="FFFFFF"/>
        </w:rPr>
      </w:pPr>
      <w:r w:rsidRPr="00A210FB">
        <w:rPr>
          <w:color w:val="000000"/>
          <w:szCs w:val="22"/>
          <w:shd w:val="clear" w:color="auto" w:fill="FFFFFF"/>
        </w:rPr>
        <w:t xml:space="preserve">Although medical TOP is associated with more bleeding than surgical TOP, overall bleeding for the two methods is minimal and not clinically different. </w:t>
      </w:r>
    </w:p>
    <w:p w14:paraId="41D6E7DE" w14:textId="3602532E" w:rsidR="00A210FB" w:rsidRPr="00A210FB" w:rsidRDefault="00A210FB" w:rsidP="008D431E">
      <w:pPr>
        <w:pStyle w:val="ListParagraph"/>
        <w:numPr>
          <w:ilvl w:val="0"/>
          <w:numId w:val="19"/>
        </w:numPr>
        <w:rPr>
          <w:szCs w:val="22"/>
        </w:rPr>
      </w:pPr>
      <w:r w:rsidRPr="00A210FB">
        <w:rPr>
          <w:szCs w:val="22"/>
        </w:rPr>
        <w:t>All service-delivery sites must possess the capacity to stabilize a haemorrhage as quickly as possible</w:t>
      </w:r>
      <w:r w:rsidR="003E1485">
        <w:rPr>
          <w:szCs w:val="22"/>
        </w:rPr>
        <w:t>. Appropriate treatment for a haemorrhage depends on its cause and severity and includes:</w:t>
      </w:r>
      <w:r w:rsidRPr="00A210FB">
        <w:rPr>
          <w:szCs w:val="22"/>
        </w:rPr>
        <w:t xml:space="preserve"> </w:t>
      </w:r>
      <w:r w:rsidR="003E1485">
        <w:rPr>
          <w:szCs w:val="22"/>
        </w:rPr>
        <w:t xml:space="preserve">re-evacuation of the uterus, </w:t>
      </w:r>
      <w:r w:rsidRPr="00A210FB">
        <w:rPr>
          <w:szCs w:val="22"/>
        </w:rPr>
        <w:t xml:space="preserve">administration of </w:t>
      </w:r>
      <w:r w:rsidR="003E1485">
        <w:rPr>
          <w:szCs w:val="22"/>
        </w:rPr>
        <w:t>uterotonic drugs</w:t>
      </w:r>
      <w:r w:rsidRPr="00A210FB">
        <w:rPr>
          <w:szCs w:val="22"/>
        </w:rPr>
        <w:t>, intravenous fluid</w:t>
      </w:r>
      <w:r w:rsidR="003E1485">
        <w:rPr>
          <w:szCs w:val="22"/>
        </w:rPr>
        <w:t xml:space="preserve"> replacement, blood transfusion</w:t>
      </w:r>
      <w:r w:rsidRPr="00A210FB">
        <w:rPr>
          <w:szCs w:val="22"/>
        </w:rPr>
        <w:t>,</w:t>
      </w:r>
      <w:r w:rsidR="003E1485">
        <w:rPr>
          <w:szCs w:val="22"/>
        </w:rPr>
        <w:t xml:space="preserve"> replacement of clotting factors, laparoscopy, </w:t>
      </w:r>
      <w:r w:rsidRPr="00A210FB">
        <w:rPr>
          <w:szCs w:val="22"/>
        </w:rPr>
        <w:t>exploratory laparotomy or refer</w:t>
      </w:r>
      <w:r w:rsidR="003E1485">
        <w:rPr>
          <w:szCs w:val="22"/>
        </w:rPr>
        <w:t>ral of the</w:t>
      </w:r>
      <w:r w:rsidRPr="00A210FB">
        <w:rPr>
          <w:szCs w:val="22"/>
        </w:rPr>
        <w:t xml:space="preserve"> </w:t>
      </w:r>
      <w:r w:rsidR="00767623">
        <w:rPr>
          <w:szCs w:val="22"/>
        </w:rPr>
        <w:t>individuals</w:t>
      </w:r>
      <w:r w:rsidRPr="00A210FB">
        <w:rPr>
          <w:szCs w:val="22"/>
        </w:rPr>
        <w:t>. All facilities should have clear referral plans for emergent cases.</w:t>
      </w:r>
    </w:p>
    <w:p w14:paraId="6C8A1852" w14:textId="21594320" w:rsidR="00A210FB" w:rsidRPr="00A210FB" w:rsidRDefault="00A210FB" w:rsidP="008D431E">
      <w:pPr>
        <w:pStyle w:val="ListParagraph"/>
        <w:numPr>
          <w:ilvl w:val="0"/>
          <w:numId w:val="19"/>
        </w:numPr>
        <w:rPr>
          <w:color w:val="000000"/>
          <w:szCs w:val="22"/>
          <w:shd w:val="clear" w:color="auto" w:fill="FFFFFF"/>
        </w:rPr>
      </w:pPr>
      <w:r w:rsidRPr="00A210FB">
        <w:rPr>
          <w:color w:val="000000"/>
          <w:szCs w:val="22"/>
          <w:shd w:val="clear" w:color="auto" w:fill="FFFFFF"/>
        </w:rPr>
        <w:t xml:space="preserve">Identifying patients who may be at increased risk of haemorrhage can help reduce blood loss with TOP. Specifically, women with a uterine scar and complete placenta previa seeking TOP at gestations </w:t>
      </w:r>
      <w:r w:rsidR="00E47072">
        <w:rPr>
          <w:color w:val="000000"/>
          <w:szCs w:val="22"/>
          <w:shd w:val="clear" w:color="auto" w:fill="FFFFFF"/>
        </w:rPr>
        <w:t>&gt;</w:t>
      </w:r>
      <w:r w:rsidRPr="00A210FB">
        <w:rPr>
          <w:color w:val="000000"/>
          <w:szCs w:val="22"/>
          <w:shd w:val="clear" w:color="auto" w:fill="FFFFFF"/>
        </w:rPr>
        <w:t>16 weeks</w:t>
      </w:r>
      <w:r w:rsidR="000117FB">
        <w:rPr>
          <w:color w:val="000000"/>
          <w:szCs w:val="22"/>
          <w:shd w:val="clear" w:color="auto" w:fill="FFFFFF"/>
        </w:rPr>
        <w:t xml:space="preserve"> + 0 days</w:t>
      </w:r>
      <w:r w:rsidRPr="00A210FB">
        <w:rPr>
          <w:color w:val="000000"/>
          <w:szCs w:val="22"/>
          <w:shd w:val="clear" w:color="auto" w:fill="FFFFFF"/>
        </w:rPr>
        <w:t xml:space="preserve"> should be evaluated for placenta accret</w:t>
      </w:r>
      <w:r w:rsidR="00E47072">
        <w:rPr>
          <w:color w:val="000000"/>
          <w:szCs w:val="22"/>
          <w:shd w:val="clear" w:color="auto" w:fill="FFFFFF"/>
        </w:rPr>
        <w:t>a</w:t>
      </w:r>
      <w:r w:rsidRPr="00A210FB">
        <w:rPr>
          <w:color w:val="000000"/>
          <w:szCs w:val="22"/>
          <w:shd w:val="clear" w:color="auto" w:fill="FFFFFF"/>
        </w:rPr>
        <w:t xml:space="preserve">. </w:t>
      </w:r>
      <w:r w:rsidR="00E47072">
        <w:rPr>
          <w:color w:val="000000"/>
          <w:szCs w:val="22"/>
          <w:shd w:val="clear" w:color="auto" w:fill="FFFFFF"/>
        </w:rPr>
        <w:t>For th</w:t>
      </w:r>
      <w:r w:rsidRPr="00A210FB">
        <w:rPr>
          <w:color w:val="000000"/>
          <w:szCs w:val="22"/>
          <w:shd w:val="clear" w:color="auto" w:fill="FFFFFF"/>
        </w:rPr>
        <w:t xml:space="preserve">ose at high risk, referral to a high acuity centre is recommended. </w:t>
      </w:r>
    </w:p>
    <w:p w14:paraId="14892894" w14:textId="77777777" w:rsidR="00E47072" w:rsidRDefault="00E47072" w:rsidP="00A210FB">
      <w:pPr>
        <w:rPr>
          <w:color w:val="000000"/>
          <w:szCs w:val="22"/>
          <w:shd w:val="clear" w:color="auto" w:fill="FFFFFF"/>
        </w:rPr>
      </w:pPr>
    </w:p>
    <w:p w14:paraId="08D3F87B" w14:textId="4EC91DCD" w:rsidR="00A210FB" w:rsidRDefault="00A210FB" w:rsidP="00A210FB">
      <w:r w:rsidRPr="008F0725">
        <w:rPr>
          <w:color w:val="000000"/>
          <w:szCs w:val="22"/>
          <w:shd w:val="clear" w:color="auto" w:fill="FFFFFF"/>
        </w:rPr>
        <w:t>For active management of haemorrhage, e</w:t>
      </w:r>
      <w:r w:rsidRPr="008F0725">
        <w:rPr>
          <w:szCs w:val="22"/>
        </w:rPr>
        <w:t>stablished clinical policies</w:t>
      </w:r>
      <w:r>
        <w:t xml:space="preserve"> which guide the decision-making process may be a helpful adjunct to risk management:</w:t>
      </w:r>
    </w:p>
    <w:p w14:paraId="46F02F5F" w14:textId="5AA376F5" w:rsidR="00A210FB" w:rsidRDefault="00A210FB" w:rsidP="008D431E">
      <w:pPr>
        <w:pStyle w:val="ListParagraph"/>
        <w:numPr>
          <w:ilvl w:val="0"/>
          <w:numId w:val="20"/>
        </w:numPr>
      </w:pPr>
      <w:r>
        <w:t xml:space="preserve">Assessment and exam is needed </w:t>
      </w:r>
      <w:r w:rsidR="003E1485">
        <w:t>treat the patient without delay</w:t>
      </w:r>
      <w:r>
        <w:t xml:space="preserve"> and identify and manage shock as an emergency</w:t>
      </w:r>
      <w:r w:rsidR="003E1485">
        <w:t>.</w:t>
      </w:r>
    </w:p>
    <w:p w14:paraId="07561B31" w14:textId="69298016" w:rsidR="00A210FB" w:rsidRDefault="00A210FB" w:rsidP="008D431E">
      <w:pPr>
        <w:pStyle w:val="ListParagraph"/>
        <w:numPr>
          <w:ilvl w:val="0"/>
          <w:numId w:val="20"/>
        </w:numPr>
      </w:pPr>
      <w:r>
        <w:t>Identify the sources of bleeding</w:t>
      </w:r>
      <w:r w:rsidR="003E1485">
        <w:t>.</w:t>
      </w:r>
    </w:p>
    <w:p w14:paraId="0D5DEBD0" w14:textId="7F3B682C" w:rsidR="00A210FB" w:rsidRPr="008F0725" w:rsidRDefault="00A210FB" w:rsidP="008D431E">
      <w:pPr>
        <w:pStyle w:val="ListParagraph"/>
        <w:numPr>
          <w:ilvl w:val="0"/>
          <w:numId w:val="20"/>
        </w:numPr>
      </w:pPr>
      <w:r>
        <w:t xml:space="preserve">Many </w:t>
      </w:r>
      <w:r w:rsidR="003E1485">
        <w:t>individuals</w:t>
      </w:r>
      <w:r>
        <w:t xml:space="preserve"> experience some bleeding after taking mifepristone </w:t>
      </w:r>
      <w:r w:rsidR="00743519">
        <w:t xml:space="preserve">but </w:t>
      </w:r>
      <w:r>
        <w:t xml:space="preserve">before using misoprostol. However, </w:t>
      </w:r>
      <w:r w:rsidR="00743519">
        <w:t>individuals,</w:t>
      </w:r>
      <w:r>
        <w:t xml:space="preserve"> even if they have had bleeding, will need to use misoprostol as scheduled to complete the TOP</w:t>
      </w:r>
      <w:r w:rsidR="00E47072">
        <w:t>.</w:t>
      </w:r>
    </w:p>
    <w:p w14:paraId="672C4933" w14:textId="32E805A1" w:rsidR="00A210FB" w:rsidRDefault="00A210FB" w:rsidP="008D431E">
      <w:pPr>
        <w:pStyle w:val="ListParagraph"/>
        <w:numPr>
          <w:ilvl w:val="0"/>
          <w:numId w:val="20"/>
        </w:numPr>
      </w:pPr>
      <w:r>
        <w:t>After administration of misoprost</w:t>
      </w:r>
      <w:r w:rsidR="00743519">
        <w:t>ol, bleeding usually starts in</w:t>
      </w:r>
      <w:r>
        <w:t xml:space="preserve"> </w:t>
      </w:r>
      <w:r w:rsidR="00743519">
        <w:t xml:space="preserve">2-4 hours later, but in some cases may begin sooner or be delayed, </w:t>
      </w:r>
      <w:r>
        <w:t>and in most studies has a median duration of 10-18 days after mifepristone</w:t>
      </w:r>
      <w:r w:rsidR="003E1485">
        <w:t>.</w:t>
      </w:r>
    </w:p>
    <w:p w14:paraId="29012409" w14:textId="430FC463" w:rsidR="00A210FB" w:rsidRDefault="00A210FB" w:rsidP="008D431E">
      <w:pPr>
        <w:pStyle w:val="ListParagraph"/>
        <w:numPr>
          <w:ilvl w:val="0"/>
          <w:numId w:val="20"/>
        </w:numPr>
      </w:pPr>
      <w:r>
        <w:t xml:space="preserve">If there is any possibility of ectopic pregnancy (for instance, if a gestational sac is not identified on pre-treatment ultrasound and ßhCGs are inconclusive), </w:t>
      </w:r>
      <w:r w:rsidR="00E47072">
        <w:t xml:space="preserve">the </w:t>
      </w:r>
      <w:r w:rsidR="003E1485">
        <w:t xml:space="preserve">individual </w:t>
      </w:r>
      <w:r>
        <w:t xml:space="preserve">should be promptly evaluated by a </w:t>
      </w:r>
      <w:r w:rsidR="003E1485">
        <w:t xml:space="preserve">health care professional. </w:t>
      </w:r>
    </w:p>
    <w:p w14:paraId="22041632" w14:textId="0EC30C24" w:rsidR="00E47072" w:rsidRDefault="00E47072" w:rsidP="00E47072"/>
    <w:p w14:paraId="64B89144" w14:textId="208D91BD" w:rsidR="00230F53" w:rsidRDefault="006955E9" w:rsidP="00230F53">
      <w:pPr>
        <w:keepNext/>
      </w:pPr>
      <w:r w:rsidRPr="006955E9">
        <w:rPr>
          <w:noProof/>
          <w:lang w:val="en-ZA" w:eastAsia="en-ZA"/>
        </w:rPr>
        <w:lastRenderedPageBreak/>
        <w:drawing>
          <wp:inline distT="0" distB="0" distL="0" distR="0" wp14:anchorId="721CC3D8" wp14:editId="79061B27">
            <wp:extent cx="4842933" cy="33621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6634" cy="3364682"/>
                    </a:xfrm>
                    <a:prstGeom prst="rect">
                      <a:avLst/>
                    </a:prstGeom>
                  </pic:spPr>
                </pic:pic>
              </a:graphicData>
            </a:graphic>
          </wp:inline>
        </w:drawing>
      </w:r>
    </w:p>
    <w:p w14:paraId="6BB56976" w14:textId="190BDB53" w:rsidR="00E47072" w:rsidRDefault="00230F53" w:rsidP="00230F53">
      <w:pPr>
        <w:pStyle w:val="Caption"/>
      </w:pPr>
      <w:bookmarkStart w:id="107" w:name="_Toc8387234"/>
      <w:r>
        <w:t xml:space="preserve">Figure </w:t>
      </w:r>
      <w:r>
        <w:fldChar w:fldCharType="begin"/>
      </w:r>
      <w:r>
        <w:instrText xml:space="preserve"> SEQ Figure \* ARABIC </w:instrText>
      </w:r>
      <w:r>
        <w:fldChar w:fldCharType="separate"/>
      </w:r>
      <w:r>
        <w:rPr>
          <w:noProof/>
        </w:rPr>
        <w:t>3</w:t>
      </w:r>
      <w:r>
        <w:fldChar w:fldCharType="end"/>
      </w:r>
      <w:r>
        <w:t>. Algorithm for managing post TOP haemorrhage</w:t>
      </w:r>
      <w:bookmarkEnd w:id="107"/>
    </w:p>
    <w:p w14:paraId="59D36C01" w14:textId="77777777" w:rsidR="00DE3FBD" w:rsidRDefault="00DE3FBD" w:rsidP="00DE3FBD">
      <w:pPr>
        <w:rPr>
          <w:b/>
        </w:rPr>
      </w:pPr>
    </w:p>
    <w:p w14:paraId="6D091551" w14:textId="3EFBB820" w:rsidR="00DE3FBD" w:rsidRPr="0059674E" w:rsidRDefault="00DE3FBD" w:rsidP="00DE3FBD">
      <w:pPr>
        <w:rPr>
          <w:b/>
          <w:i/>
        </w:rPr>
      </w:pPr>
      <w:r w:rsidRPr="0059674E">
        <w:rPr>
          <w:b/>
          <w:i/>
        </w:rPr>
        <w:t xml:space="preserve">Septic TOPs   </w:t>
      </w:r>
    </w:p>
    <w:p w14:paraId="1083A816" w14:textId="10A48718" w:rsidR="00DE3FBD" w:rsidRDefault="00DE3FBD" w:rsidP="00DE3FBD">
      <w:r>
        <w:t>A septic TOP should be managed in the same way as post-partum sepsis</w:t>
      </w:r>
      <w:r w:rsidR="0059674E">
        <w:t>,</w:t>
      </w:r>
      <w:r>
        <w:t xml:space="preserve"> and as such</w:t>
      </w:r>
      <w:r w:rsidR="0059674E">
        <w:t>,</w:t>
      </w:r>
      <w:r>
        <w:t xml:space="preserve"> the algorithm for post-partum sepsis </w:t>
      </w:r>
      <w:r w:rsidR="0059674E">
        <w:t>should be</w:t>
      </w:r>
      <w:r>
        <w:t xml:space="preserve"> followed. </w:t>
      </w:r>
    </w:p>
    <w:p w14:paraId="66226D6D" w14:textId="77777777" w:rsidR="00DE3FBD" w:rsidRDefault="00DE3FBD" w:rsidP="00DE3FBD"/>
    <w:p w14:paraId="25D402F9" w14:textId="3BF87853" w:rsidR="00DE3FBD" w:rsidRDefault="00B46F47" w:rsidP="008D431E">
      <w:pPr>
        <w:pStyle w:val="ListParagraph"/>
        <w:numPr>
          <w:ilvl w:val="0"/>
          <w:numId w:val="21"/>
        </w:numPr>
      </w:pPr>
      <w:r>
        <w:t xml:space="preserve">Health </w:t>
      </w:r>
      <w:r w:rsidR="00DE3FBD">
        <w:t xml:space="preserve">care </w:t>
      </w:r>
      <w:r>
        <w:t xml:space="preserve">professionals </w:t>
      </w:r>
      <w:r w:rsidR="00DE3FBD">
        <w:t>must be equipped and trained to provide treatment for infections that may result from unsafe TOPs. Such treatment includes the administration of antibiotics and evacuation of the uterus where the infection is caused by retained products of conception. Health care professionals must be alert to the warning signs and symptoms of this rare post-obstetrical complication.</w:t>
      </w:r>
      <w:r w:rsidR="00DE3FBD" w:rsidRPr="00027A31">
        <w:t xml:space="preserve"> </w:t>
      </w:r>
    </w:p>
    <w:p w14:paraId="5182E006" w14:textId="413A777F" w:rsidR="00DE3FBD" w:rsidRDefault="00B46F47" w:rsidP="008D431E">
      <w:pPr>
        <w:pStyle w:val="ListParagraph"/>
        <w:numPr>
          <w:ilvl w:val="0"/>
          <w:numId w:val="21"/>
        </w:numPr>
      </w:pPr>
      <w:r>
        <w:t>Individuals</w:t>
      </w:r>
      <w:r w:rsidR="00DE3FBD">
        <w:t xml:space="preserve"> must be counselled that the late appearance (e.g. &gt;24 hrs after the use of misoprostol) of abdominal pain, discomfort, and/or "flu-like” symptoms (including nausea, diarrhea, vomiting, and weakness, but typically without fever) should be reported to their provider immediately.</w:t>
      </w:r>
    </w:p>
    <w:p w14:paraId="24D930A8" w14:textId="75072C78" w:rsidR="00DE3FBD" w:rsidRDefault="00B46F47" w:rsidP="008D431E">
      <w:pPr>
        <w:pStyle w:val="ListParagraph"/>
        <w:numPr>
          <w:ilvl w:val="0"/>
          <w:numId w:val="21"/>
        </w:numPr>
      </w:pPr>
      <w:r>
        <w:t>Health care professionals</w:t>
      </w:r>
      <w:r w:rsidR="00DE3FBD">
        <w:t xml:space="preserve"> should consider these symptoms, when combined with characteristic clinical findings (tachycardia, hemoconcentration and leucocytosis with a marked left shift) to be indicators for immediate hospital admission. </w:t>
      </w:r>
    </w:p>
    <w:p w14:paraId="4257D726" w14:textId="083F03C3" w:rsidR="00D4185F" w:rsidRDefault="00D4185F" w:rsidP="00D76A18"/>
    <w:p w14:paraId="54165677" w14:textId="0EB3D39B" w:rsidR="004E4616" w:rsidRDefault="004E4616">
      <w:pPr>
        <w:spacing w:line="240" w:lineRule="auto"/>
      </w:pPr>
      <w:r>
        <w:br w:type="page"/>
      </w:r>
    </w:p>
    <w:p w14:paraId="0A8E0FF7" w14:textId="467E022E" w:rsidR="004E4616" w:rsidRPr="006869BD" w:rsidRDefault="00E83CB6" w:rsidP="004E4616">
      <w:pPr>
        <w:pStyle w:val="Heading1"/>
        <w:rPr>
          <w:rFonts w:eastAsia="Arial"/>
        </w:rPr>
      </w:pPr>
      <w:bookmarkStart w:id="108" w:name="_Toc525688614"/>
      <w:bookmarkStart w:id="109" w:name="_Toc8387212"/>
      <w:r>
        <w:rPr>
          <w:rFonts w:eastAsia="Arial"/>
        </w:rPr>
        <w:lastRenderedPageBreak/>
        <w:t>Service delivery platform</w:t>
      </w:r>
      <w:bookmarkEnd w:id="108"/>
      <w:bookmarkEnd w:id="109"/>
    </w:p>
    <w:p w14:paraId="14F17BEC" w14:textId="77777777" w:rsidR="004E4616" w:rsidRDefault="004E4616" w:rsidP="004E4616">
      <w:bookmarkStart w:id="110" w:name="_Toc525688615"/>
    </w:p>
    <w:p w14:paraId="07073CA4" w14:textId="2C460318" w:rsidR="004E4616" w:rsidRDefault="004E4616" w:rsidP="004E4616">
      <w:pPr>
        <w:pStyle w:val="Heading2"/>
      </w:pPr>
      <w:bookmarkStart w:id="111" w:name="_Toc8387213"/>
      <w:r>
        <w:t>Training</w:t>
      </w:r>
      <w:bookmarkEnd w:id="110"/>
      <w:bookmarkEnd w:id="111"/>
    </w:p>
    <w:p w14:paraId="20A9D90D" w14:textId="77777777" w:rsidR="004E4616" w:rsidRDefault="004E4616" w:rsidP="004E4616"/>
    <w:p w14:paraId="4FC77AD0" w14:textId="3C977BF4" w:rsidR="00810F80" w:rsidRPr="00D609F1" w:rsidRDefault="004E4616" w:rsidP="004E4616">
      <w:r>
        <w:t>Adequate training</w:t>
      </w:r>
      <w:r w:rsidR="00806D17">
        <w:t>, as well as supervised mentorship,</w:t>
      </w:r>
      <w:r>
        <w:t xml:space="preserve"> is required to ensure </w:t>
      </w:r>
      <w:r w:rsidR="00810F80">
        <w:t xml:space="preserve">all levels of </w:t>
      </w:r>
      <w:r>
        <w:t xml:space="preserve">health care professionals have the skills and knowledge to deliver integrated TOP services. All </w:t>
      </w:r>
      <w:r w:rsidR="00823C45">
        <w:t xml:space="preserve">TOP </w:t>
      </w:r>
      <w:r w:rsidR="004246DB">
        <w:t xml:space="preserve">providers </w:t>
      </w:r>
      <w:r>
        <w:t>need to be assessed for basic competency in medical TOP and MVA clinical assessments prior t</w:t>
      </w:r>
      <w:r w:rsidR="00823C45">
        <w:t>o professional registration. This</w:t>
      </w:r>
      <w:r>
        <w:t xml:space="preserve"> </w:t>
      </w:r>
      <w:r w:rsidR="00823C45">
        <w:t>clinical guideline,</w:t>
      </w:r>
      <w:r>
        <w:t xml:space="preserve"> along with the standardized and </w:t>
      </w:r>
      <w:r w:rsidRPr="00AB1E66">
        <w:rPr>
          <w:color w:val="000000" w:themeColor="text1"/>
        </w:rPr>
        <w:t xml:space="preserve">comprehensive TOP Training Manual </w:t>
      </w:r>
      <w:r>
        <w:t>will form the essential training ma</w:t>
      </w:r>
      <w:r w:rsidR="00823C45">
        <w:t xml:space="preserve">terials for managers and health </w:t>
      </w:r>
      <w:r>
        <w:t xml:space="preserve">care professionals at provincial, district, and sub-district levels.   </w:t>
      </w:r>
      <w:r w:rsidR="00810F80">
        <w:t xml:space="preserve">Additionally, integrated TOP training should be incorporated into pre-service curricular (medical and nursing school) as a component of SRH&amp;R course that covers a continuum of services (SRH&amp;R rights, contraception, TOP, etc.). </w:t>
      </w:r>
    </w:p>
    <w:p w14:paraId="65CEC9F7" w14:textId="77777777" w:rsidR="004E4616" w:rsidRDefault="004E4616" w:rsidP="004E4616">
      <w:bookmarkStart w:id="112" w:name="_Toc525688616"/>
    </w:p>
    <w:p w14:paraId="22D29298" w14:textId="566E0C92" w:rsidR="004E4616" w:rsidRDefault="00D427B1" w:rsidP="004E4616">
      <w:pPr>
        <w:pStyle w:val="Heading2"/>
      </w:pPr>
      <w:bookmarkStart w:id="113" w:name="_Toc8387214"/>
      <w:r>
        <w:t>Monitoring and e</w:t>
      </w:r>
      <w:r w:rsidR="004E4616">
        <w:t>valuation</w:t>
      </w:r>
      <w:bookmarkEnd w:id="112"/>
      <w:bookmarkEnd w:id="113"/>
    </w:p>
    <w:p w14:paraId="75A357A1" w14:textId="77777777" w:rsidR="004E4616" w:rsidRDefault="004E4616" w:rsidP="004E4616">
      <w:bookmarkStart w:id="114" w:name="_Toc521439187"/>
      <w:bookmarkStart w:id="115" w:name="_Toc525688617"/>
      <w:bookmarkEnd w:id="114"/>
    </w:p>
    <w:p w14:paraId="034E8885" w14:textId="4926EEC8" w:rsidR="004E4616" w:rsidRPr="004E4616" w:rsidRDefault="004E4616" w:rsidP="004E4616">
      <w:pPr>
        <w:rPr>
          <w:b/>
        </w:rPr>
      </w:pPr>
      <w:r w:rsidRPr="004E4616">
        <w:rPr>
          <w:b/>
        </w:rPr>
        <w:t>Reporting</w:t>
      </w:r>
      <w:bookmarkEnd w:id="115"/>
    </w:p>
    <w:p w14:paraId="76D80BBD" w14:textId="6B2682DA" w:rsidR="004E4616" w:rsidRDefault="004E4616" w:rsidP="004E4616">
      <w:r>
        <w:t>In order to improve data collection and reporting, facilities providing TOP services will keep complete records of the notification of TOPs as follows</w:t>
      </w:r>
      <w:r w:rsidR="00A84B66">
        <w:t xml:space="preserve">, as per </w:t>
      </w:r>
      <w:r w:rsidR="00115100">
        <w:rPr>
          <w:i/>
        </w:rPr>
        <w:t>Regulations u</w:t>
      </w:r>
      <w:r w:rsidR="00115100" w:rsidRPr="00115100">
        <w:rPr>
          <w:i/>
        </w:rPr>
        <w:t>nder the CTOP Act 1996, R168</w:t>
      </w:r>
      <w:r w:rsidR="00115100">
        <w:t>:</w:t>
      </w:r>
    </w:p>
    <w:p w14:paraId="59473F0E" w14:textId="7BE22C70" w:rsidR="004E4616" w:rsidRPr="007109E2" w:rsidRDefault="004E4616" w:rsidP="008D431E">
      <w:pPr>
        <w:pStyle w:val="ListParagraph"/>
        <w:numPr>
          <w:ilvl w:val="0"/>
          <w:numId w:val="22"/>
        </w:numPr>
      </w:pPr>
      <w:r>
        <w:t xml:space="preserve">The </w:t>
      </w:r>
      <w:r w:rsidRPr="007109E2">
        <w:t>medical practitioner</w:t>
      </w:r>
      <w:r w:rsidR="006277BF">
        <w:t>, registered nurse</w:t>
      </w:r>
      <w:r w:rsidRPr="007109E2">
        <w:t xml:space="preserve"> or registered midwife who is performing the TOP will complete form 1 (</w:t>
      </w:r>
      <w:r w:rsidR="00B36A76">
        <w:t xml:space="preserve">Annex 3a: </w:t>
      </w:r>
      <w:r w:rsidRPr="007109E2">
        <w:t xml:space="preserve">Annexure A) in cases where the </w:t>
      </w:r>
      <w:r w:rsidR="00775353" w:rsidRPr="007109E2">
        <w:t>individual</w:t>
      </w:r>
      <w:r w:rsidRPr="007109E2">
        <w:t xml:space="preserve"> is 18 or above 18 y</w:t>
      </w:r>
      <w:r w:rsidR="00B36A76">
        <w:t>ears of age and form 2 (Annex</w:t>
      </w:r>
      <w:r w:rsidRPr="007109E2">
        <w:t xml:space="preserve"> </w:t>
      </w:r>
      <w:r w:rsidR="00B36A76">
        <w:t xml:space="preserve">3b: Annexure </w:t>
      </w:r>
      <w:r w:rsidRPr="007109E2">
        <w:t xml:space="preserve">B) where the </w:t>
      </w:r>
      <w:r w:rsidR="00775353" w:rsidRPr="007109E2">
        <w:t>individual</w:t>
      </w:r>
      <w:r w:rsidRPr="007109E2">
        <w:t xml:space="preserve"> is a minor or where the </w:t>
      </w:r>
      <w:r w:rsidR="00775353" w:rsidRPr="007109E2">
        <w:t>individual</w:t>
      </w:r>
      <w:r w:rsidRPr="007109E2">
        <w:t xml:space="preserve"> is severely mentally disabled or in a state of continuous unconsciousness. </w:t>
      </w:r>
    </w:p>
    <w:p w14:paraId="1D4AF480" w14:textId="77777777" w:rsidR="004E4616" w:rsidRPr="007109E2" w:rsidRDefault="004E4616" w:rsidP="008D431E">
      <w:pPr>
        <w:pStyle w:val="ListParagraph"/>
        <w:numPr>
          <w:ilvl w:val="0"/>
          <w:numId w:val="22"/>
        </w:numPr>
      </w:pPr>
      <w:r w:rsidRPr="007109E2">
        <w:t>Three copies of each form shall be printed:</w:t>
      </w:r>
    </w:p>
    <w:p w14:paraId="5F928201" w14:textId="674CFE5C" w:rsidR="004E4616" w:rsidRPr="007109E2" w:rsidRDefault="004E4616" w:rsidP="008D431E">
      <w:pPr>
        <w:pStyle w:val="ListParagraph"/>
        <w:numPr>
          <w:ilvl w:val="1"/>
          <w:numId w:val="22"/>
        </w:numPr>
      </w:pPr>
      <w:r w:rsidRPr="007109E2">
        <w:t xml:space="preserve">The first copy </w:t>
      </w:r>
      <w:r w:rsidRPr="007109E2">
        <w:rPr>
          <w:b/>
          <w:i/>
        </w:rPr>
        <w:t>includes</w:t>
      </w:r>
      <w:r w:rsidRPr="007109E2">
        <w:t xml:space="preserve"> the individual</w:t>
      </w:r>
      <w:r w:rsidR="007B45F5" w:rsidRPr="007109E2">
        <w:t>’</w:t>
      </w:r>
      <w:r w:rsidRPr="007109E2">
        <w:t>s name and shall be filed in their folder</w:t>
      </w:r>
    </w:p>
    <w:p w14:paraId="12924059" w14:textId="1CE90AB3" w:rsidR="004E4616" w:rsidRPr="007109E2" w:rsidRDefault="004E4616" w:rsidP="008D431E">
      <w:pPr>
        <w:pStyle w:val="ListParagraph"/>
        <w:numPr>
          <w:ilvl w:val="1"/>
          <w:numId w:val="22"/>
        </w:numPr>
      </w:pPr>
      <w:r w:rsidRPr="007109E2">
        <w:t xml:space="preserve">The second copy </w:t>
      </w:r>
      <w:r w:rsidRPr="007109E2">
        <w:rPr>
          <w:b/>
          <w:i/>
        </w:rPr>
        <w:t>excludes</w:t>
      </w:r>
      <w:r w:rsidRPr="007109E2">
        <w:t xml:space="preserve"> the individual</w:t>
      </w:r>
      <w:r w:rsidR="007B45F5" w:rsidRPr="007109E2">
        <w:t>’s</w:t>
      </w:r>
      <w:r w:rsidRPr="007109E2">
        <w:t xml:space="preserve"> name and shall be left in the Annexure A booklet for audit purposes</w:t>
      </w:r>
    </w:p>
    <w:p w14:paraId="0FBB63F6" w14:textId="603E7E0D" w:rsidR="004E4616" w:rsidRPr="007109E2" w:rsidRDefault="004E4616" w:rsidP="008D431E">
      <w:pPr>
        <w:pStyle w:val="ListParagraph"/>
        <w:numPr>
          <w:ilvl w:val="1"/>
          <w:numId w:val="22"/>
        </w:numPr>
      </w:pPr>
      <w:r w:rsidRPr="007109E2">
        <w:t xml:space="preserve">The third copy </w:t>
      </w:r>
      <w:r w:rsidRPr="007109E2">
        <w:rPr>
          <w:b/>
          <w:i/>
        </w:rPr>
        <w:t>excludes</w:t>
      </w:r>
      <w:r w:rsidRPr="007109E2">
        <w:t xml:space="preserve"> the name of the individual and shall be forwarded by the facility manager to the District/Sub-structure office for filing </w:t>
      </w:r>
    </w:p>
    <w:p w14:paraId="22F68EBD" w14:textId="2CB3D247" w:rsidR="004E4616" w:rsidRPr="007109E2" w:rsidRDefault="00B36A76" w:rsidP="008D431E">
      <w:pPr>
        <w:pStyle w:val="ListParagraph"/>
        <w:numPr>
          <w:ilvl w:val="0"/>
          <w:numId w:val="22"/>
        </w:numPr>
      </w:pPr>
      <w:r>
        <w:t xml:space="preserve">A third form (Annex 3c: Annexure </w:t>
      </w:r>
      <w:r w:rsidR="004E4616" w:rsidRPr="007109E2">
        <w:t>C) shall collate all the information in the form 1’s of a particular month and shall be forwarded by the Facility Manager to the District/Sub-District office for data recording on the District Health Information System (DHIS).</w:t>
      </w:r>
    </w:p>
    <w:p w14:paraId="5C735B59" w14:textId="77777777" w:rsidR="004E4616" w:rsidRDefault="004E4616" w:rsidP="004E4616">
      <w:bookmarkStart w:id="116" w:name="_Toc525688618"/>
    </w:p>
    <w:p w14:paraId="67CEAF3E" w14:textId="5876B10E" w:rsidR="004E4616" w:rsidRPr="004E4616" w:rsidRDefault="004E4616" w:rsidP="004E4616">
      <w:pPr>
        <w:rPr>
          <w:b/>
        </w:rPr>
      </w:pPr>
      <w:r w:rsidRPr="004E4616">
        <w:rPr>
          <w:b/>
        </w:rPr>
        <w:t>Indicators</w:t>
      </w:r>
      <w:bookmarkEnd w:id="116"/>
    </w:p>
    <w:p w14:paraId="7F25BB68" w14:textId="5712A5BD" w:rsidR="004E4616" w:rsidRDefault="005E6C29" w:rsidP="004E4616">
      <w:r>
        <w:t>A</w:t>
      </w:r>
      <w:r w:rsidR="004E4616">
        <w:t xml:space="preserve">dditional indicators and </w:t>
      </w:r>
      <w:r>
        <w:t>strategies</w:t>
      </w:r>
      <w:r w:rsidR="004E4616" w:rsidRPr="001E7BAA">
        <w:t xml:space="preserve"> to improve data practices are recommended</w:t>
      </w:r>
      <w:r>
        <w:t xml:space="preserve"> to</w:t>
      </w:r>
      <w:r w:rsidR="004E4616" w:rsidRPr="001E7BAA">
        <w:t xml:space="preserve"> improve data quality, availability</w:t>
      </w:r>
      <w:r w:rsidR="004E4616">
        <w:t>,</w:t>
      </w:r>
      <w:r>
        <w:t xml:space="preserve"> and completeness and made available at national and provincial level:  </w:t>
      </w:r>
    </w:p>
    <w:p w14:paraId="42A0691C" w14:textId="77777777" w:rsidR="004E4616" w:rsidRPr="00AB1E66" w:rsidRDefault="004E4616" w:rsidP="004E4616"/>
    <w:p w14:paraId="650E83FD" w14:textId="77777777" w:rsidR="004E4616" w:rsidRDefault="004E4616" w:rsidP="008D431E">
      <w:pPr>
        <w:pStyle w:val="ListParagraph"/>
        <w:numPr>
          <w:ilvl w:val="0"/>
          <w:numId w:val="23"/>
        </w:numPr>
      </w:pPr>
      <w:r w:rsidRPr="001E7BAA">
        <w:t xml:space="preserve">Number </w:t>
      </w:r>
      <w:r>
        <w:t>and type (medical, surgical) of</w:t>
      </w:r>
      <w:r w:rsidRPr="001E7BAA">
        <w:t xml:space="preserve"> </w:t>
      </w:r>
      <w:r>
        <w:t>TOPs</w:t>
      </w:r>
      <w:r w:rsidRPr="001E7BAA">
        <w:t xml:space="preserve"> performed</w:t>
      </w:r>
    </w:p>
    <w:p w14:paraId="78EA635D" w14:textId="6031A93D" w:rsidR="004E4616" w:rsidRPr="001E7BAA" w:rsidRDefault="004E4616" w:rsidP="008D431E">
      <w:pPr>
        <w:pStyle w:val="ListParagraph"/>
        <w:numPr>
          <w:ilvl w:val="0"/>
          <w:numId w:val="23"/>
        </w:numPr>
      </w:pPr>
      <w:r>
        <w:t xml:space="preserve">The list of </w:t>
      </w:r>
      <w:r w:rsidR="005E6C29">
        <w:t>facilities, at provincial and district level, that offer</w:t>
      </w:r>
      <w:r>
        <w:t xml:space="preserve"> medical and surgical TOP, by trimester </w:t>
      </w:r>
    </w:p>
    <w:p w14:paraId="52F2DA8C" w14:textId="19C2C5F9" w:rsidR="004E4616" w:rsidRPr="001E7BAA" w:rsidRDefault="004E4616" w:rsidP="008D431E">
      <w:pPr>
        <w:pStyle w:val="ListParagraph"/>
        <w:numPr>
          <w:ilvl w:val="0"/>
          <w:numId w:val="23"/>
        </w:numPr>
      </w:pPr>
      <w:r w:rsidRPr="001E7BAA">
        <w:t xml:space="preserve">The </w:t>
      </w:r>
      <w:r>
        <w:t xml:space="preserve">list of </w:t>
      </w:r>
      <w:r w:rsidR="005E6C29">
        <w:t>facilities, at provincial and district level,</w:t>
      </w:r>
      <w:r w:rsidRPr="001E7BAA">
        <w:t xml:space="preserve"> with public-private partnerships for </w:t>
      </w:r>
      <w:r>
        <w:t xml:space="preserve">TOP </w:t>
      </w:r>
      <w:r w:rsidRPr="001E7BAA">
        <w:t xml:space="preserve">provision </w:t>
      </w:r>
    </w:p>
    <w:p w14:paraId="49B71F20" w14:textId="668B284A" w:rsidR="004E4616" w:rsidRDefault="004E4616" w:rsidP="008D431E">
      <w:pPr>
        <w:pStyle w:val="ListParagraph"/>
        <w:numPr>
          <w:ilvl w:val="0"/>
          <w:numId w:val="23"/>
        </w:numPr>
      </w:pPr>
      <w:r w:rsidRPr="001E7BAA">
        <w:lastRenderedPageBreak/>
        <w:t xml:space="preserve">The number of </w:t>
      </w:r>
      <w:r w:rsidR="00983887">
        <w:t>individuals</w:t>
      </w:r>
      <w:r w:rsidRPr="001E7BAA">
        <w:t xml:space="preserve"> who present for services at public facilities in the first trimester but who ultimately have their procedure in the second trimester</w:t>
      </w:r>
      <w:r w:rsidR="005E6C29">
        <w:t>,</w:t>
      </w:r>
      <w:r w:rsidRPr="001E7BAA">
        <w:t xml:space="preserve"> as a result of structural or other barriers </w:t>
      </w:r>
    </w:p>
    <w:p w14:paraId="03959280" w14:textId="30B26B83" w:rsidR="009E788F" w:rsidRDefault="009E788F" w:rsidP="008D431E">
      <w:pPr>
        <w:pStyle w:val="ListParagraph"/>
        <w:numPr>
          <w:ilvl w:val="0"/>
          <w:numId w:val="23"/>
        </w:numPr>
      </w:pPr>
      <w:r>
        <w:t xml:space="preserve">The number of individuals who present for services at public facilities in second trimester that are referred to ANC or not provided </w:t>
      </w:r>
      <w:r w:rsidR="00A07E09">
        <w:t xml:space="preserve">services at a facility that offers TOP services </w:t>
      </w:r>
    </w:p>
    <w:p w14:paraId="47D35C27" w14:textId="16D134DC" w:rsidR="00A07E09" w:rsidRPr="001E7BAA" w:rsidRDefault="00A07E09" w:rsidP="008D431E">
      <w:pPr>
        <w:pStyle w:val="ListParagraph"/>
        <w:numPr>
          <w:ilvl w:val="0"/>
          <w:numId w:val="23"/>
        </w:numPr>
      </w:pPr>
      <w:r>
        <w:t xml:space="preserve">The number of individuals who receive recommended pain management measures </w:t>
      </w:r>
    </w:p>
    <w:p w14:paraId="1131E88B" w14:textId="59C77B5A" w:rsidR="004E4616" w:rsidRPr="001E7BAA" w:rsidRDefault="005E6C29" w:rsidP="008D431E">
      <w:pPr>
        <w:pStyle w:val="ListParagraph"/>
        <w:numPr>
          <w:ilvl w:val="0"/>
          <w:numId w:val="23"/>
        </w:numPr>
      </w:pPr>
      <w:r>
        <w:t>Documentation of</w:t>
      </w:r>
      <w:r w:rsidR="004E4616" w:rsidRPr="001E7BAA">
        <w:t xml:space="preserve"> </w:t>
      </w:r>
      <w:r w:rsidR="00983887">
        <w:t>individuals</w:t>
      </w:r>
      <w:r w:rsidR="004E4616" w:rsidRPr="001E7BAA">
        <w:t xml:space="preserve"> who receive a method of contra</w:t>
      </w:r>
      <w:r w:rsidR="004E4616">
        <w:t>ception when they leave post-TOP procedure</w:t>
      </w:r>
    </w:p>
    <w:p w14:paraId="42B2CEC6" w14:textId="55BC2BFC" w:rsidR="004E4616" w:rsidRDefault="005E6C29" w:rsidP="008D431E">
      <w:pPr>
        <w:pStyle w:val="ListParagraph"/>
        <w:numPr>
          <w:ilvl w:val="0"/>
          <w:numId w:val="23"/>
        </w:numPr>
      </w:pPr>
      <w:r>
        <w:t>Documentation of</w:t>
      </w:r>
      <w:r w:rsidR="004E4616" w:rsidRPr="001E7BAA">
        <w:t xml:space="preserve"> </w:t>
      </w:r>
      <w:r w:rsidR="00A07E09">
        <w:t xml:space="preserve">serious adverse </w:t>
      </w:r>
      <w:r w:rsidR="004E4616">
        <w:t>TOP</w:t>
      </w:r>
      <w:r w:rsidR="004E4616" w:rsidRPr="001E7BAA">
        <w:t>-related complications</w:t>
      </w:r>
      <w:r>
        <w:t>,</w:t>
      </w:r>
      <w:r w:rsidR="004E4616" w:rsidRPr="001E7BAA">
        <w:t xml:space="preserve"> where possible (as a measure of service quality)</w:t>
      </w:r>
    </w:p>
    <w:p w14:paraId="60B35732" w14:textId="77777777" w:rsidR="004E4616" w:rsidRPr="001E7BAA" w:rsidRDefault="004E4616" w:rsidP="004E4616"/>
    <w:p w14:paraId="2AD5987B" w14:textId="74019CE7" w:rsidR="00A84B66" w:rsidRPr="001E7BAA" w:rsidRDefault="004E4616" w:rsidP="00A84B66">
      <w:r w:rsidRPr="00983887">
        <w:t>Data practices should be improved in th</w:t>
      </w:r>
      <w:r w:rsidR="00A84B66">
        <w:t>e following ways:</w:t>
      </w:r>
    </w:p>
    <w:p w14:paraId="6F8FD214" w14:textId="17B48D6D" w:rsidR="004E4616" w:rsidRPr="001E7BAA" w:rsidRDefault="004E4616" w:rsidP="008D431E">
      <w:pPr>
        <w:pStyle w:val="ListParagraph"/>
        <w:numPr>
          <w:ilvl w:val="0"/>
          <w:numId w:val="24"/>
        </w:numPr>
      </w:pPr>
      <w:r w:rsidRPr="001E7BAA">
        <w:t xml:space="preserve">All facilities, public and private, to keep record of all </w:t>
      </w:r>
      <w:r w:rsidR="00983887">
        <w:t>TOPs</w:t>
      </w:r>
      <w:r w:rsidRPr="001E7BAA">
        <w:t xml:space="preserve"> referred and performed</w:t>
      </w:r>
    </w:p>
    <w:p w14:paraId="7B7B2C05" w14:textId="5A548ACF" w:rsidR="004E4616" w:rsidRPr="001E7BAA" w:rsidRDefault="004E4616" w:rsidP="008D431E">
      <w:pPr>
        <w:pStyle w:val="ListParagraph"/>
        <w:numPr>
          <w:ilvl w:val="0"/>
          <w:numId w:val="24"/>
        </w:numPr>
      </w:pPr>
      <w:r w:rsidRPr="001E7BAA">
        <w:t>Complications referred to another facility must be mana</w:t>
      </w:r>
      <w:r w:rsidR="003F1FC3">
        <w:t xml:space="preserve">ged and documented as a </w:t>
      </w:r>
      <w:r w:rsidR="003F1FC3" w:rsidRPr="003F1FC3">
        <w:rPr>
          <w:i/>
        </w:rPr>
        <w:t>new</w:t>
      </w:r>
      <w:r w:rsidRPr="003F1FC3">
        <w:rPr>
          <w:i/>
        </w:rPr>
        <w:t xml:space="preserve"> </w:t>
      </w:r>
      <w:r w:rsidR="00983887" w:rsidRPr="003F1FC3">
        <w:rPr>
          <w:i/>
        </w:rPr>
        <w:t>TOP</w:t>
      </w:r>
      <w:r w:rsidRPr="003F1FC3">
        <w:rPr>
          <w:i/>
        </w:rPr>
        <w:t xml:space="preserve"> case</w:t>
      </w:r>
      <w:r w:rsidRPr="001E7BAA">
        <w:t xml:space="preserve"> </w:t>
      </w:r>
    </w:p>
    <w:p w14:paraId="3F54A53E" w14:textId="2790A70F" w:rsidR="004E4616" w:rsidRPr="001E7BAA" w:rsidRDefault="004E4616" w:rsidP="008D431E">
      <w:pPr>
        <w:pStyle w:val="ListParagraph"/>
        <w:numPr>
          <w:ilvl w:val="0"/>
          <w:numId w:val="24"/>
        </w:numPr>
      </w:pPr>
      <w:r w:rsidRPr="001E7BAA">
        <w:t xml:space="preserve">Detailed notes </w:t>
      </w:r>
      <w:r w:rsidR="00983887">
        <w:t xml:space="preserve">of the individual </w:t>
      </w:r>
      <w:r w:rsidRPr="001E7BAA">
        <w:t xml:space="preserve">must be kept in </w:t>
      </w:r>
      <w:r w:rsidR="00983887">
        <w:t xml:space="preserve">their </w:t>
      </w:r>
      <w:r w:rsidRPr="001E7BAA">
        <w:t>file</w:t>
      </w:r>
      <w:r w:rsidR="00983887">
        <w:t>,</w:t>
      </w:r>
      <w:r w:rsidRPr="001E7BAA">
        <w:t xml:space="preserve"> including the contraceptive method offered, if applicable</w:t>
      </w:r>
    </w:p>
    <w:p w14:paraId="0B4BFEEA" w14:textId="36E7A5E8" w:rsidR="004E4616" w:rsidRPr="001E7BAA" w:rsidRDefault="004E4616" w:rsidP="008D431E">
      <w:pPr>
        <w:pStyle w:val="ListParagraph"/>
        <w:numPr>
          <w:ilvl w:val="0"/>
          <w:numId w:val="24"/>
        </w:numPr>
      </w:pPr>
      <w:r w:rsidRPr="001E7BAA">
        <w:t>Deaths of</w:t>
      </w:r>
      <w:r>
        <w:t xml:space="preserve"> HIV-positive </w:t>
      </w:r>
      <w:r w:rsidR="00983887">
        <w:t>individuals</w:t>
      </w:r>
      <w:r>
        <w:t xml:space="preserve"> who had a TOP</w:t>
      </w:r>
      <w:r w:rsidRPr="001E7BAA">
        <w:t xml:space="preserve"> or who had additional medical conditions need to be recorded correctly according to the maternal mortality recording process. In case a</w:t>
      </w:r>
      <w:r w:rsidR="00983887">
        <w:t>n</w:t>
      </w:r>
      <w:r w:rsidRPr="001E7BAA">
        <w:t xml:space="preserve"> </w:t>
      </w:r>
      <w:r w:rsidR="00983887">
        <w:t>individual</w:t>
      </w:r>
      <w:r w:rsidRPr="001E7BAA">
        <w:t xml:space="preserve"> is HIV</w:t>
      </w:r>
      <w:r w:rsidR="00983887">
        <w:t>-</w:t>
      </w:r>
      <w:r w:rsidRPr="001E7BAA">
        <w:t xml:space="preserve">positive and dies from septic </w:t>
      </w:r>
      <w:r>
        <w:t>TOP</w:t>
      </w:r>
      <w:r w:rsidRPr="001E7BAA">
        <w:t>, th</w:t>
      </w:r>
      <w:r>
        <w:t>e death should be recorded as a</w:t>
      </w:r>
      <w:r w:rsidRPr="001E7BAA">
        <w:t xml:space="preserve"> </w:t>
      </w:r>
      <w:r>
        <w:t xml:space="preserve">TOP </w:t>
      </w:r>
      <w:r w:rsidRPr="001E7BAA">
        <w:t>death and not an HIV death</w:t>
      </w:r>
      <w:r>
        <w:t xml:space="preserve">. </w:t>
      </w:r>
    </w:p>
    <w:p w14:paraId="79ED4B49" w14:textId="77777777" w:rsidR="00983887" w:rsidRDefault="00983887" w:rsidP="004E4616">
      <w:pPr>
        <w:rPr>
          <w:b/>
        </w:rPr>
      </w:pPr>
    </w:p>
    <w:p w14:paraId="7D7EFBF2" w14:textId="63A67E5E" w:rsidR="004E4616" w:rsidRPr="00983887" w:rsidRDefault="004E4616" w:rsidP="004E4616">
      <w:r w:rsidRPr="00983887">
        <w:t>Data availability, quality</w:t>
      </w:r>
      <w:r w:rsidR="00983887">
        <w:t>,</w:t>
      </w:r>
      <w:r w:rsidRPr="00983887">
        <w:t xml:space="preserve"> and completeness should be increased through the following:</w:t>
      </w:r>
    </w:p>
    <w:p w14:paraId="0B9461D0" w14:textId="653D8ECD" w:rsidR="004E4616" w:rsidRDefault="004E4616" w:rsidP="008D431E">
      <w:pPr>
        <w:pStyle w:val="ListParagraph"/>
        <w:numPr>
          <w:ilvl w:val="0"/>
          <w:numId w:val="25"/>
        </w:numPr>
      </w:pPr>
      <w:bookmarkStart w:id="117" w:name="page27"/>
      <w:bookmarkEnd w:id="117"/>
      <w:r w:rsidRPr="001E7BAA">
        <w:t xml:space="preserve">Routine calculation and publication </w:t>
      </w:r>
      <w:r w:rsidR="00A84B66">
        <w:t>of</w:t>
      </w:r>
      <w:r w:rsidRPr="001E7BAA">
        <w:t xml:space="preserve"> the percent of pregnancies ending in induced </w:t>
      </w:r>
      <w:r>
        <w:t xml:space="preserve">TOP, </w:t>
      </w:r>
      <w:r w:rsidRPr="001E7BAA">
        <w:t>by province</w:t>
      </w:r>
      <w:r w:rsidR="002E63E9">
        <w:t xml:space="preserve"> and with age disaggregation </w:t>
      </w:r>
    </w:p>
    <w:p w14:paraId="5A1AD151" w14:textId="69C709A0" w:rsidR="00A84B66" w:rsidRPr="001E7BAA" w:rsidRDefault="00A84B66" w:rsidP="008D431E">
      <w:pPr>
        <w:pStyle w:val="ListParagraph"/>
        <w:numPr>
          <w:ilvl w:val="0"/>
          <w:numId w:val="25"/>
        </w:numPr>
      </w:pPr>
      <w:r w:rsidRPr="001E7BAA">
        <w:t xml:space="preserve">Routine calculation and publication of the rate of unsafe </w:t>
      </w:r>
      <w:r>
        <w:t>TOP</w:t>
      </w:r>
      <w:r w:rsidRPr="001E7BAA">
        <w:t xml:space="preserve"> per 1,000 women aged 15-44</w:t>
      </w:r>
    </w:p>
    <w:p w14:paraId="56791572" w14:textId="484E1336" w:rsidR="004E4616" w:rsidRPr="001E7BAA" w:rsidRDefault="004E4616" w:rsidP="008D431E">
      <w:pPr>
        <w:pStyle w:val="ListParagraph"/>
        <w:numPr>
          <w:ilvl w:val="0"/>
          <w:numId w:val="25"/>
        </w:numPr>
      </w:pPr>
      <w:r w:rsidRPr="001E7BAA">
        <w:t xml:space="preserve">Improved data capturing and </w:t>
      </w:r>
      <w:r w:rsidRPr="007109E2">
        <w:t>availability of Annexure A data</w:t>
      </w:r>
      <w:r w:rsidRPr="001E7BAA">
        <w:t xml:space="preserve"> including </w:t>
      </w:r>
      <w:r w:rsidR="00983887">
        <w:t>individual</w:t>
      </w:r>
      <w:r w:rsidR="00A84B66">
        <w:t>’</w:t>
      </w:r>
      <w:r w:rsidR="00983887">
        <w:t>s</w:t>
      </w:r>
      <w:r w:rsidRPr="001E7BAA">
        <w:t xml:space="preserve"> age, gestational age, and procedure type (medical or surgical)</w:t>
      </w:r>
    </w:p>
    <w:p w14:paraId="7E3888AF" w14:textId="30EB7F2C" w:rsidR="004E4616" w:rsidRPr="001E7BAA" w:rsidRDefault="004E4616" w:rsidP="008D431E">
      <w:pPr>
        <w:pStyle w:val="ListParagraph"/>
        <w:numPr>
          <w:ilvl w:val="0"/>
          <w:numId w:val="25"/>
        </w:numPr>
      </w:pPr>
      <w:r w:rsidRPr="001E7BAA">
        <w:t xml:space="preserve">Collaboration with the private sector to combine public and private sector data on </w:t>
      </w:r>
      <w:r w:rsidR="00983887">
        <w:t>TOP</w:t>
      </w:r>
      <w:r w:rsidRPr="001E7BAA">
        <w:t xml:space="preserve"> provision</w:t>
      </w:r>
    </w:p>
    <w:p w14:paraId="59E08C59" w14:textId="03C5F323" w:rsidR="004E4616" w:rsidRPr="001E7BAA" w:rsidRDefault="004E4616" w:rsidP="008D431E">
      <w:pPr>
        <w:pStyle w:val="ListParagraph"/>
        <w:numPr>
          <w:ilvl w:val="0"/>
          <w:numId w:val="25"/>
        </w:numPr>
      </w:pPr>
      <w:r w:rsidRPr="001E7BAA">
        <w:t xml:space="preserve">Undertaking </w:t>
      </w:r>
      <w:r w:rsidR="00A84B66">
        <w:t xml:space="preserve">of </w:t>
      </w:r>
      <w:r w:rsidRPr="001E7BAA">
        <w:t xml:space="preserve">research to assess the magnitude of unsafe </w:t>
      </w:r>
      <w:r w:rsidR="00983887">
        <w:t>TOP</w:t>
      </w:r>
      <w:r w:rsidRPr="001E7BAA">
        <w:t xml:space="preserve"> and the proportion of hospital admissions resulting from unsafe </w:t>
      </w:r>
      <w:r w:rsidR="00983887">
        <w:t>TOP</w:t>
      </w:r>
      <w:r w:rsidRPr="001E7BAA">
        <w:t xml:space="preserve"> in the country</w:t>
      </w:r>
    </w:p>
    <w:p w14:paraId="0BD3089C" w14:textId="008ED30A" w:rsidR="00983887" w:rsidRDefault="00983887" w:rsidP="004E4616">
      <w:bookmarkStart w:id="118" w:name="_Toc525688619"/>
    </w:p>
    <w:p w14:paraId="22751043" w14:textId="7A246F8D" w:rsidR="004E4616" w:rsidRDefault="004E4616" w:rsidP="009E33EB">
      <w:pPr>
        <w:pStyle w:val="Heading2"/>
      </w:pPr>
      <w:bookmarkStart w:id="119" w:name="_Toc8387215"/>
      <w:r>
        <w:t xml:space="preserve">Multi-sectoral </w:t>
      </w:r>
      <w:r w:rsidR="009E33EB">
        <w:t>c</w:t>
      </w:r>
      <w:r>
        <w:t xml:space="preserve">ollaboration </w:t>
      </w:r>
      <w:r w:rsidR="009E33EB">
        <w:t>and</w:t>
      </w:r>
      <w:r>
        <w:t xml:space="preserve"> </w:t>
      </w:r>
      <w:r w:rsidR="009E33EB">
        <w:t>s</w:t>
      </w:r>
      <w:r>
        <w:t>tewardship</w:t>
      </w:r>
      <w:bookmarkEnd w:id="118"/>
      <w:bookmarkEnd w:id="119"/>
    </w:p>
    <w:p w14:paraId="7CF862B4" w14:textId="77777777" w:rsidR="009E33EB" w:rsidRDefault="009E33EB" w:rsidP="004E4616">
      <w:bookmarkStart w:id="120" w:name="_Toc525688620"/>
    </w:p>
    <w:p w14:paraId="7FFDAC62" w14:textId="50CEB50E" w:rsidR="004E4616" w:rsidRDefault="004E4616" w:rsidP="004E4616">
      <w:pPr>
        <w:rPr>
          <w:b/>
        </w:rPr>
      </w:pPr>
      <w:r w:rsidRPr="009E33EB">
        <w:rPr>
          <w:b/>
        </w:rPr>
        <w:t>Collaboration with communities</w:t>
      </w:r>
      <w:bookmarkEnd w:id="120"/>
    </w:p>
    <w:p w14:paraId="2B05D2BE" w14:textId="5A007513" w:rsidR="000D4725" w:rsidRDefault="00AC0A24" w:rsidP="000D4725">
      <w:r>
        <w:t>To strengthen the integration of multi-sectorial efforts to increase overall access to safe TO</w:t>
      </w:r>
      <w:r w:rsidR="0017128B">
        <w:t xml:space="preserve">P services, it is important for partnership and cooperation between government, the private sector, civil society and development partners. </w:t>
      </w:r>
    </w:p>
    <w:p w14:paraId="26608297" w14:textId="77777777" w:rsidR="0017128B" w:rsidRDefault="0017128B" w:rsidP="000D4725"/>
    <w:p w14:paraId="2BC86D11" w14:textId="0FF563E3" w:rsidR="004E4616" w:rsidRPr="00F0243E" w:rsidRDefault="004E4616" w:rsidP="008D431E">
      <w:pPr>
        <w:pStyle w:val="ListParagraph"/>
        <w:numPr>
          <w:ilvl w:val="0"/>
          <w:numId w:val="26"/>
        </w:numPr>
      </w:pPr>
      <w:r w:rsidRPr="00F0243E">
        <w:t xml:space="preserve">Establish and strengthen multi-sectoral coordination mechanisms and structures at all levels, to integrate </w:t>
      </w:r>
      <w:r>
        <w:t>TOP</w:t>
      </w:r>
      <w:r w:rsidRPr="00F0243E">
        <w:t xml:space="preserve"> services</w:t>
      </w:r>
      <w:r w:rsidRPr="0086330A">
        <w:t xml:space="preserve"> </w:t>
      </w:r>
      <w:r w:rsidRPr="00F0243E">
        <w:t>and other communicable and non-communicable disease</w:t>
      </w:r>
      <w:r w:rsidR="000D4725">
        <w:t xml:space="preserve"> services</w:t>
      </w:r>
      <w:r w:rsidR="0017128B">
        <w:t xml:space="preserve">, as part of overall sexual and reproductive health and rights service delivery </w:t>
      </w:r>
    </w:p>
    <w:p w14:paraId="430CEA8F" w14:textId="575388BA" w:rsidR="004E4616" w:rsidRPr="00F0243E" w:rsidRDefault="004E4616" w:rsidP="008D431E">
      <w:pPr>
        <w:pStyle w:val="ListParagraph"/>
        <w:numPr>
          <w:ilvl w:val="0"/>
          <w:numId w:val="26"/>
        </w:numPr>
      </w:pPr>
      <w:r w:rsidRPr="00F0243E">
        <w:lastRenderedPageBreak/>
        <w:t>Establish, strengthen</w:t>
      </w:r>
      <w:r w:rsidR="000D4725">
        <w:t>,</w:t>
      </w:r>
      <w:r w:rsidRPr="00F0243E">
        <w:t xml:space="preserve"> and coordinate effective and seamless referral systems between government facilities at all levels, private sector facilities, and non-governmental organisations offering safe </w:t>
      </w:r>
      <w:r>
        <w:t>TOP</w:t>
      </w:r>
      <w:r w:rsidRPr="00F0243E">
        <w:t xml:space="preserve"> </w:t>
      </w:r>
    </w:p>
    <w:p w14:paraId="618F516E" w14:textId="5F18D852" w:rsidR="004E4616" w:rsidRPr="00F0243E" w:rsidRDefault="004E4616" w:rsidP="008D431E">
      <w:pPr>
        <w:pStyle w:val="ListParagraph"/>
        <w:numPr>
          <w:ilvl w:val="0"/>
          <w:numId w:val="26"/>
        </w:numPr>
      </w:pPr>
      <w:r w:rsidRPr="00F0243E">
        <w:t xml:space="preserve">Engage civil society groups and others committed to advancing safe </w:t>
      </w:r>
      <w:r>
        <w:t>TOP</w:t>
      </w:r>
      <w:r w:rsidRPr="00F0243E">
        <w:t xml:space="preserve"> </w:t>
      </w:r>
      <w:r w:rsidR="0017128B">
        <w:t xml:space="preserve">in dialogue and decision making  </w:t>
      </w:r>
    </w:p>
    <w:p w14:paraId="5233CEDD" w14:textId="7C1FB3B3" w:rsidR="004E4616" w:rsidRDefault="004E4616" w:rsidP="008D431E">
      <w:pPr>
        <w:pStyle w:val="ListParagraph"/>
        <w:numPr>
          <w:ilvl w:val="0"/>
          <w:numId w:val="26"/>
        </w:numPr>
      </w:pPr>
      <w:r w:rsidRPr="00F0243E">
        <w:t xml:space="preserve">Develop strategies, including supportive supervision and mentorship for health workers and other service providers, to ensure quality assurance in the provision of integrated </w:t>
      </w:r>
      <w:r>
        <w:t>TOP</w:t>
      </w:r>
      <w:r w:rsidRPr="00F0243E">
        <w:t xml:space="preserve"> services</w:t>
      </w:r>
    </w:p>
    <w:p w14:paraId="551C5911" w14:textId="77777777" w:rsidR="0017128B" w:rsidRPr="00F0243E" w:rsidRDefault="0017128B" w:rsidP="008D431E">
      <w:pPr>
        <w:pStyle w:val="ListParagraph"/>
        <w:numPr>
          <w:ilvl w:val="0"/>
          <w:numId w:val="26"/>
        </w:numPr>
      </w:pPr>
      <w:r w:rsidRPr="00F0243E">
        <w:t>Train</w:t>
      </w:r>
      <w:r>
        <w:t xml:space="preserve"> </w:t>
      </w:r>
      <w:r w:rsidRPr="00F0243E">
        <w:t xml:space="preserve">community health workers to provide information on safe </w:t>
      </w:r>
      <w:r>
        <w:t xml:space="preserve">and </w:t>
      </w:r>
      <w:r w:rsidRPr="00F0243E">
        <w:t xml:space="preserve">local </w:t>
      </w:r>
      <w:r>
        <w:t>TOP</w:t>
      </w:r>
      <w:r w:rsidRPr="00F0243E">
        <w:t xml:space="preserve"> services dur</w:t>
      </w:r>
      <w:r>
        <w:t>ing community outreach and home-</w:t>
      </w:r>
      <w:r w:rsidRPr="00F0243E">
        <w:t>based visits</w:t>
      </w:r>
    </w:p>
    <w:p w14:paraId="673DCE8A" w14:textId="207FB729" w:rsidR="0017128B" w:rsidRDefault="0017128B" w:rsidP="008D431E">
      <w:pPr>
        <w:pStyle w:val="ListParagraph"/>
        <w:numPr>
          <w:ilvl w:val="0"/>
          <w:numId w:val="26"/>
        </w:numPr>
      </w:pPr>
      <w:r w:rsidRPr="00F0243E">
        <w:t xml:space="preserve">Engage with community leaders, faith-based, and religious organisations, clinic committees, and other </w:t>
      </w:r>
      <w:r>
        <w:t>community-based implementers t</w:t>
      </w:r>
      <w:r w:rsidR="00845A93">
        <w:t>o p</w:t>
      </w:r>
      <w:r w:rsidRPr="00F0243E">
        <w:t xml:space="preserve">romote safe </w:t>
      </w:r>
      <w:r>
        <w:t>TOP</w:t>
      </w:r>
      <w:r w:rsidRPr="00F0243E">
        <w:t xml:space="preserve"> services in communities</w:t>
      </w:r>
      <w:r w:rsidR="00845A93">
        <w:t xml:space="preserve"> and i</w:t>
      </w:r>
      <w:r w:rsidRPr="00F0243E">
        <w:t xml:space="preserve">dentify illegal providers and encourage these to refer </w:t>
      </w:r>
      <w:r>
        <w:t>individuals</w:t>
      </w:r>
      <w:r w:rsidRPr="00F0243E">
        <w:t xml:space="preserve"> for safe </w:t>
      </w:r>
      <w:r>
        <w:t>TOP</w:t>
      </w:r>
    </w:p>
    <w:p w14:paraId="15B9BDF5" w14:textId="77057233" w:rsidR="0017128B" w:rsidRPr="00F0243E" w:rsidRDefault="0017128B" w:rsidP="008D431E">
      <w:pPr>
        <w:pStyle w:val="ListParagraph"/>
        <w:numPr>
          <w:ilvl w:val="0"/>
          <w:numId w:val="26"/>
        </w:numPr>
      </w:pPr>
      <w:r>
        <w:t xml:space="preserve">Use media to address stigma </w:t>
      </w:r>
      <w:r w:rsidR="003575F8">
        <w:t>and restrict</w:t>
      </w:r>
      <w:r w:rsidR="004E4616">
        <w:t xml:space="preserve"> sensational reporting </w:t>
      </w:r>
    </w:p>
    <w:p w14:paraId="5A78E17E" w14:textId="77777777" w:rsidR="000D4725" w:rsidRDefault="000D4725" w:rsidP="000D4725">
      <w:bookmarkStart w:id="121" w:name="_Toc525688621"/>
    </w:p>
    <w:p w14:paraId="4985713A" w14:textId="5396C7B9" w:rsidR="004E4616" w:rsidRPr="000D4725" w:rsidRDefault="004E4616" w:rsidP="000D4725">
      <w:pPr>
        <w:rPr>
          <w:b/>
        </w:rPr>
      </w:pPr>
      <w:r w:rsidRPr="000D4725">
        <w:rPr>
          <w:b/>
        </w:rPr>
        <w:t>Collaboration within government</w:t>
      </w:r>
      <w:bookmarkEnd w:id="121"/>
      <w:r w:rsidRPr="000D4725">
        <w:rPr>
          <w:b/>
        </w:rPr>
        <w:t xml:space="preserve"> </w:t>
      </w:r>
    </w:p>
    <w:p w14:paraId="333E4578" w14:textId="7A56DC60" w:rsidR="004E4616" w:rsidRPr="00D30EC5" w:rsidRDefault="00FA1C5D" w:rsidP="004E4616">
      <w:r>
        <w:t xml:space="preserve">Partner </w:t>
      </w:r>
      <w:r w:rsidR="004E4616" w:rsidRPr="00D30EC5">
        <w:t xml:space="preserve">with the Department of </w:t>
      </w:r>
      <w:r w:rsidR="004E4616">
        <w:t xml:space="preserve">Social Development </w:t>
      </w:r>
      <w:r w:rsidR="007B0611">
        <w:t xml:space="preserve">(DSD) </w:t>
      </w:r>
      <w:r w:rsidR="004E4616">
        <w:t xml:space="preserve">and Department of </w:t>
      </w:r>
      <w:r w:rsidR="004E4616" w:rsidRPr="00D30EC5">
        <w:t xml:space="preserve">Basic Education </w:t>
      </w:r>
      <w:r w:rsidR="007B0611">
        <w:t xml:space="preserve">(DBE) </w:t>
      </w:r>
      <w:r w:rsidR="004E4616" w:rsidRPr="00D30EC5">
        <w:t xml:space="preserve">for the provision of </w:t>
      </w:r>
      <w:r w:rsidR="004E4616">
        <w:t>psycho social services</w:t>
      </w:r>
      <w:r>
        <w:t xml:space="preserve">. </w:t>
      </w:r>
    </w:p>
    <w:p w14:paraId="76FBECB9" w14:textId="57245313" w:rsidR="004E4616" w:rsidRPr="00F0243E" w:rsidRDefault="004E4616" w:rsidP="008D431E">
      <w:pPr>
        <w:pStyle w:val="ListParagraph"/>
        <w:numPr>
          <w:ilvl w:val="0"/>
          <w:numId w:val="27"/>
        </w:numPr>
      </w:pPr>
      <w:r w:rsidRPr="00F0243E">
        <w:t xml:space="preserve">Implement collaborative interventions with the justice system, including working with the police to address issues of </w:t>
      </w:r>
      <w:r w:rsidR="007B0611">
        <w:t>SGBV</w:t>
      </w:r>
      <w:r>
        <w:t xml:space="preserve"> </w:t>
      </w:r>
      <w:r w:rsidRPr="00F0243E">
        <w:t xml:space="preserve"> </w:t>
      </w:r>
    </w:p>
    <w:p w14:paraId="39B57722" w14:textId="77FD5E22" w:rsidR="004E4616" w:rsidRPr="00F0243E" w:rsidRDefault="004E4616" w:rsidP="008D431E">
      <w:pPr>
        <w:pStyle w:val="ListParagraph"/>
        <w:numPr>
          <w:ilvl w:val="0"/>
          <w:numId w:val="27"/>
        </w:numPr>
      </w:pPr>
      <w:r w:rsidRPr="00F0243E">
        <w:t xml:space="preserve">Engage with </w:t>
      </w:r>
      <w:r w:rsidR="00FA1C5D">
        <w:t xml:space="preserve">the </w:t>
      </w:r>
      <w:r w:rsidR="007B0611">
        <w:t>DBE</w:t>
      </w:r>
      <w:r w:rsidRPr="00F0243E">
        <w:t xml:space="preserve"> to include safe </w:t>
      </w:r>
      <w:r w:rsidR="007B0611">
        <w:t>TOP</w:t>
      </w:r>
      <w:r>
        <w:t xml:space="preserve"> </w:t>
      </w:r>
      <w:r w:rsidRPr="00F0243E">
        <w:t>in</w:t>
      </w:r>
      <w:r>
        <w:t xml:space="preserve"> </w:t>
      </w:r>
      <w:r w:rsidRPr="00F0243E">
        <w:t>comprehensive sexuality education</w:t>
      </w:r>
      <w:r>
        <w:t xml:space="preserve"> consistent with the curriculum</w:t>
      </w:r>
    </w:p>
    <w:p w14:paraId="01A82BFF" w14:textId="5F94A4C5" w:rsidR="004E4616" w:rsidRDefault="004E4616" w:rsidP="008D431E">
      <w:pPr>
        <w:pStyle w:val="ListParagraph"/>
        <w:numPr>
          <w:ilvl w:val="0"/>
          <w:numId w:val="27"/>
        </w:numPr>
      </w:pPr>
      <w:r w:rsidRPr="00F0243E">
        <w:t xml:space="preserve">Engage with Department of Higher Education to </w:t>
      </w:r>
      <w:r>
        <w:t>continue and ensure competency in</w:t>
      </w:r>
      <w:r w:rsidRPr="00F0243E">
        <w:t xml:space="preserve"> the delivery of safe </w:t>
      </w:r>
      <w:r w:rsidR="007B0611">
        <w:t>TOP</w:t>
      </w:r>
      <w:r w:rsidRPr="00F0243E">
        <w:t xml:space="preserve"> services in pre-service curricula for n</w:t>
      </w:r>
      <w:r>
        <w:t>urses, pharmacists, and doctors</w:t>
      </w:r>
    </w:p>
    <w:p w14:paraId="6482010A" w14:textId="5257F809" w:rsidR="007B0611" w:rsidRDefault="007B0611" w:rsidP="007B0611"/>
    <w:p w14:paraId="13D34D0F" w14:textId="77777777" w:rsidR="007B0611" w:rsidRPr="00747AB0" w:rsidRDefault="007B0611" w:rsidP="007B0611"/>
    <w:p w14:paraId="692B7D3D" w14:textId="3717BC02" w:rsidR="004833B9" w:rsidRDefault="004833B9" w:rsidP="004833B9">
      <w:pPr>
        <w:pStyle w:val="Heading2"/>
      </w:pPr>
      <w:bookmarkStart w:id="122" w:name="_Toc8387216"/>
      <w:r>
        <w:t>Summary of best practices in service delivery</w:t>
      </w:r>
      <w:bookmarkEnd w:id="122"/>
      <w:r>
        <w:t xml:space="preserve"> </w:t>
      </w:r>
    </w:p>
    <w:p w14:paraId="24946C6C" w14:textId="6D1040F3" w:rsidR="004833B9" w:rsidRDefault="004833B9" w:rsidP="004833B9"/>
    <w:p w14:paraId="4ABC11B0" w14:textId="2C0148E3" w:rsidR="004833B9" w:rsidRDefault="004833B9" w:rsidP="004833B9">
      <w:pPr>
        <w:rPr>
          <w:b/>
        </w:rPr>
      </w:pPr>
      <w:r>
        <w:rPr>
          <w:b/>
        </w:rPr>
        <w:t>Access to services</w:t>
      </w:r>
    </w:p>
    <w:p w14:paraId="4855F4EC" w14:textId="30BF7FFA" w:rsidR="004833B9" w:rsidRPr="004833B9" w:rsidRDefault="004833B9" w:rsidP="008D431E">
      <w:pPr>
        <w:pStyle w:val="ListParagraph"/>
        <w:numPr>
          <w:ilvl w:val="0"/>
          <w:numId w:val="32"/>
        </w:numPr>
        <w:rPr>
          <w:b/>
        </w:rPr>
      </w:pPr>
      <w:r>
        <w:t xml:space="preserve">TOP services must be available to the fullest extent that the CTOP Act of 1996 and the CTOP Amendment Acts of 2004 and 2008 enable, as detailed in Section 2. Health care professionals should know what the law does allow in South Africa and be clear about the circumstances for which TOP is legal. </w:t>
      </w:r>
    </w:p>
    <w:p w14:paraId="3D9D5B02" w14:textId="7529E49F" w:rsidR="004833B9" w:rsidRPr="004833B9" w:rsidRDefault="004833B9" w:rsidP="008D431E">
      <w:pPr>
        <w:pStyle w:val="ListParagraph"/>
        <w:numPr>
          <w:ilvl w:val="0"/>
          <w:numId w:val="32"/>
        </w:numPr>
        <w:rPr>
          <w:b/>
        </w:rPr>
      </w:pPr>
      <w:r>
        <w:t xml:space="preserve">If an individual requesting a TOP fulfils the legal criteria, there should be no further restriction of access on grounds such as age, marital status or the number of previous TOPs. </w:t>
      </w:r>
    </w:p>
    <w:p w14:paraId="6C203F92" w14:textId="4407020C" w:rsidR="004833B9" w:rsidRPr="004833B9" w:rsidRDefault="004833B9" w:rsidP="008D431E">
      <w:pPr>
        <w:pStyle w:val="ListParagraph"/>
        <w:numPr>
          <w:ilvl w:val="0"/>
          <w:numId w:val="32"/>
        </w:numPr>
        <w:rPr>
          <w:b/>
        </w:rPr>
      </w:pPr>
      <w:r>
        <w:t xml:space="preserve">TOP is safer the sooner it is done. Services should be able to meet the local demand for TOP so that the individual can have their TOP at the earliest possible gestation and as close to home as possible. </w:t>
      </w:r>
    </w:p>
    <w:p w14:paraId="5BE66691" w14:textId="1E162A24" w:rsidR="004833B9" w:rsidRPr="003D1B70" w:rsidRDefault="003D1B70" w:rsidP="008D431E">
      <w:pPr>
        <w:pStyle w:val="ListParagraph"/>
        <w:numPr>
          <w:ilvl w:val="0"/>
          <w:numId w:val="32"/>
        </w:numPr>
        <w:rPr>
          <w:b/>
        </w:rPr>
      </w:pPr>
      <w:r>
        <w:t xml:space="preserve">As the equipment needed for routine early medical TOP is not sophisticated, this service can be provided in basic facilities, as per Section 2, thereby increasing access to safe TOP care and enhancing convenience to individuals. </w:t>
      </w:r>
    </w:p>
    <w:p w14:paraId="74E6511B" w14:textId="10CA3449" w:rsidR="003D1B70" w:rsidRPr="003D1B70" w:rsidRDefault="003D1B70" w:rsidP="008D431E">
      <w:pPr>
        <w:pStyle w:val="ListParagraph"/>
        <w:numPr>
          <w:ilvl w:val="0"/>
          <w:numId w:val="32"/>
        </w:numPr>
        <w:rPr>
          <w:b/>
        </w:rPr>
      </w:pPr>
      <w:r>
        <w:lastRenderedPageBreak/>
        <w:t xml:space="preserve">As the equipment and space required for a safe TOP service are similar to those needed for routine </w:t>
      </w:r>
      <w:r w:rsidR="00764BE6">
        <w:t>health care</w:t>
      </w:r>
      <w:r>
        <w:t xml:space="preserve"> and family planning services, efforts should be made to provide safe TOP services in a wide range of health facilities and in an integrated manner. </w:t>
      </w:r>
    </w:p>
    <w:p w14:paraId="68A7CF36" w14:textId="2719F320" w:rsidR="003D1B70" w:rsidRPr="003D1B70" w:rsidRDefault="003D1B70" w:rsidP="008D431E">
      <w:pPr>
        <w:pStyle w:val="ListParagraph"/>
        <w:numPr>
          <w:ilvl w:val="0"/>
          <w:numId w:val="32"/>
        </w:numPr>
        <w:rPr>
          <w:b/>
        </w:rPr>
      </w:pPr>
      <w:r>
        <w:t xml:space="preserve">All health care providers should be trained to provide comprehensive TOP care, in line with their skills and licenses, as per Section 2. This can help spread the workload and improve the skills of all providers of women’s health care, thereby enhancing access to and increasing the safety of TOP care. </w:t>
      </w:r>
    </w:p>
    <w:p w14:paraId="2990E379" w14:textId="1156800B" w:rsidR="003D1B70" w:rsidRPr="0059204F" w:rsidRDefault="003D1B70" w:rsidP="008D431E">
      <w:pPr>
        <w:pStyle w:val="ListParagraph"/>
        <w:numPr>
          <w:ilvl w:val="0"/>
          <w:numId w:val="32"/>
        </w:numPr>
        <w:rPr>
          <w:b/>
        </w:rPr>
      </w:pPr>
      <w:r>
        <w:t xml:space="preserve">Integrating </w:t>
      </w:r>
      <w:r w:rsidR="0059204F">
        <w:t xml:space="preserve">TOP services within overall maternal/women’s health care minimizes the stigma associate with TOP care for both women and providers. </w:t>
      </w:r>
    </w:p>
    <w:p w14:paraId="3E7AF39F" w14:textId="6B5F9172" w:rsidR="0059204F" w:rsidRPr="004833B9" w:rsidRDefault="0059204F" w:rsidP="008D431E">
      <w:pPr>
        <w:pStyle w:val="ListParagraph"/>
        <w:numPr>
          <w:ilvl w:val="0"/>
          <w:numId w:val="32"/>
        </w:numPr>
        <w:rPr>
          <w:b/>
        </w:rPr>
      </w:pPr>
      <w:r>
        <w:t xml:space="preserve">Where TOP services are provided but there is no provision for emergency or specialist care, there must be robust and timely pathways for referral. </w:t>
      </w:r>
    </w:p>
    <w:p w14:paraId="2398A2B0" w14:textId="77777777" w:rsidR="004833B9" w:rsidRPr="004833B9" w:rsidRDefault="004833B9" w:rsidP="004833B9"/>
    <w:p w14:paraId="2C3926C9" w14:textId="6048A3E9" w:rsidR="003D47FC" w:rsidRDefault="003D47FC" w:rsidP="003D47FC">
      <w:pPr>
        <w:rPr>
          <w:b/>
        </w:rPr>
      </w:pPr>
      <w:r>
        <w:rPr>
          <w:b/>
        </w:rPr>
        <w:t xml:space="preserve">Information provision </w:t>
      </w:r>
    </w:p>
    <w:p w14:paraId="5DC4FD35" w14:textId="69F25595" w:rsidR="003D47FC" w:rsidRPr="003D47FC" w:rsidRDefault="003D47FC" w:rsidP="008D431E">
      <w:pPr>
        <w:pStyle w:val="ListParagraph"/>
        <w:numPr>
          <w:ilvl w:val="0"/>
          <w:numId w:val="33"/>
        </w:numPr>
        <w:rPr>
          <w:b/>
        </w:rPr>
      </w:pPr>
      <w:r>
        <w:t xml:space="preserve">There should be local arrangements in place for providing information to women and </w:t>
      </w:r>
      <w:r w:rsidR="00764BE6">
        <w:t>health care</w:t>
      </w:r>
      <w:r>
        <w:t xml:space="preserve"> professionals on routes of access to safe TOP care. </w:t>
      </w:r>
    </w:p>
    <w:p w14:paraId="7612655F" w14:textId="031EA467" w:rsidR="003D47FC" w:rsidRPr="003D47FC" w:rsidRDefault="003D47FC" w:rsidP="008D431E">
      <w:pPr>
        <w:pStyle w:val="ListParagraph"/>
        <w:numPr>
          <w:ilvl w:val="0"/>
          <w:numId w:val="33"/>
        </w:numPr>
        <w:rPr>
          <w:b/>
        </w:rPr>
      </w:pPr>
      <w:r>
        <w:t xml:space="preserve">Services should ensure that written, objective, evidence-guided information is available in a way that is understandable to individuals considering TOP. Information should be made available in a variety of languages and formats, as relevant. </w:t>
      </w:r>
    </w:p>
    <w:p w14:paraId="4995A50F" w14:textId="19D57C10" w:rsidR="003D47FC" w:rsidRPr="003D47FC" w:rsidRDefault="003D47FC" w:rsidP="008D431E">
      <w:pPr>
        <w:pStyle w:val="ListParagraph"/>
        <w:numPr>
          <w:ilvl w:val="0"/>
          <w:numId w:val="33"/>
        </w:numPr>
        <w:rPr>
          <w:b/>
        </w:rPr>
      </w:pPr>
      <w:r>
        <w:t xml:space="preserve">Individuals should have access to objective information and, if required, counselling and decision-making support about their pregnancy options. </w:t>
      </w:r>
    </w:p>
    <w:p w14:paraId="2E05395F" w14:textId="17E6CD5C" w:rsidR="003D47FC" w:rsidRPr="003D47FC" w:rsidRDefault="003D47FC" w:rsidP="008D431E">
      <w:pPr>
        <w:pStyle w:val="ListParagraph"/>
        <w:numPr>
          <w:ilvl w:val="0"/>
          <w:numId w:val="33"/>
        </w:numPr>
        <w:rPr>
          <w:b/>
        </w:rPr>
      </w:pPr>
      <w:r>
        <w:t xml:space="preserve">Information for individuals and providers should emphasize the need for confidentiality. </w:t>
      </w:r>
    </w:p>
    <w:p w14:paraId="0C610509" w14:textId="77777777" w:rsidR="003D47FC" w:rsidRPr="003D47FC" w:rsidRDefault="003D47FC" w:rsidP="003D47FC">
      <w:pPr>
        <w:rPr>
          <w:b/>
        </w:rPr>
      </w:pPr>
    </w:p>
    <w:p w14:paraId="3E8A11CF" w14:textId="4AD3EB7D" w:rsidR="003D47FC" w:rsidRDefault="003D47FC" w:rsidP="003D47FC">
      <w:pPr>
        <w:rPr>
          <w:b/>
        </w:rPr>
      </w:pPr>
      <w:r>
        <w:rPr>
          <w:b/>
        </w:rPr>
        <w:t xml:space="preserve">Initial assessment </w:t>
      </w:r>
    </w:p>
    <w:p w14:paraId="3EFDEC4F" w14:textId="01C3BCFD" w:rsidR="003D47FC" w:rsidRDefault="0017752B" w:rsidP="008D431E">
      <w:pPr>
        <w:pStyle w:val="ListParagraph"/>
        <w:numPr>
          <w:ilvl w:val="0"/>
          <w:numId w:val="34"/>
        </w:numPr>
      </w:pPr>
      <w:r>
        <w:t xml:space="preserve">There should be a pathway to appropriate medical care for individuals with known significant medical conditions requiring specialist TOP care (e.g. heart disease). </w:t>
      </w:r>
    </w:p>
    <w:p w14:paraId="4D35D7DA" w14:textId="605416C3" w:rsidR="0017752B" w:rsidRDefault="0017752B" w:rsidP="008D431E">
      <w:pPr>
        <w:pStyle w:val="ListParagraph"/>
        <w:numPr>
          <w:ilvl w:val="0"/>
          <w:numId w:val="34"/>
        </w:numPr>
      </w:pPr>
      <w:r>
        <w:t xml:space="preserve">Individuals presenting for induced TOP who are found to have a non-viable pregnancy also require contraception and sexual health care. </w:t>
      </w:r>
    </w:p>
    <w:p w14:paraId="69B27AE9" w14:textId="63F7AF31" w:rsidR="0017752B" w:rsidRDefault="0017752B" w:rsidP="008D431E">
      <w:pPr>
        <w:pStyle w:val="ListParagraph"/>
        <w:numPr>
          <w:ilvl w:val="0"/>
          <w:numId w:val="34"/>
        </w:numPr>
      </w:pPr>
      <w:r>
        <w:t>Individuals requesting TOP but who subsequently decide to continue the pregnancy should be referred for antenatal care</w:t>
      </w:r>
      <w:r w:rsidR="00EE7995">
        <w:t>.</w:t>
      </w:r>
    </w:p>
    <w:p w14:paraId="14FA2FC7" w14:textId="3008DABF" w:rsidR="0017752B" w:rsidRDefault="0017752B" w:rsidP="008D431E">
      <w:pPr>
        <w:pStyle w:val="ListParagraph"/>
        <w:numPr>
          <w:ilvl w:val="0"/>
          <w:numId w:val="34"/>
        </w:numPr>
      </w:pPr>
      <w:r>
        <w:t xml:space="preserve">Services should identify issues/characteristics </w:t>
      </w:r>
      <w:r w:rsidR="00EE7995">
        <w:t xml:space="preserve">that make individuals particularly vulnerable (e.g. adolescents, victims of domestic abuse or gender-based violence) and refer them to appropriate support services. </w:t>
      </w:r>
    </w:p>
    <w:p w14:paraId="5F7828A9" w14:textId="77777777" w:rsidR="00EE7995" w:rsidRDefault="00EE7995" w:rsidP="00EE7995">
      <w:pPr>
        <w:rPr>
          <w:b/>
        </w:rPr>
      </w:pPr>
    </w:p>
    <w:p w14:paraId="0C6F2EEB" w14:textId="1675EBD3" w:rsidR="00EE7995" w:rsidRDefault="00EE7995" w:rsidP="00EE7995">
      <w:pPr>
        <w:rPr>
          <w:b/>
        </w:rPr>
      </w:pPr>
      <w:r>
        <w:rPr>
          <w:b/>
        </w:rPr>
        <w:t>Arrangements for the procedure</w:t>
      </w:r>
    </w:p>
    <w:p w14:paraId="08E9AD42" w14:textId="77777777" w:rsidR="000E31A3" w:rsidRPr="000E31A3" w:rsidRDefault="000E31A3" w:rsidP="008D431E">
      <w:pPr>
        <w:pStyle w:val="ListParagraph"/>
        <w:numPr>
          <w:ilvl w:val="0"/>
          <w:numId w:val="35"/>
        </w:numPr>
        <w:rPr>
          <w:b/>
        </w:rPr>
      </w:pPr>
      <w:r>
        <w:t xml:space="preserve">To minimize delay, service arrangements should be such that the TOP can be provided as soon as possible, ideally on the same day as the assessment. </w:t>
      </w:r>
    </w:p>
    <w:p w14:paraId="401BD5F0" w14:textId="77777777" w:rsidR="000E31A3" w:rsidRPr="000E31A3" w:rsidRDefault="000E31A3" w:rsidP="008D431E">
      <w:pPr>
        <w:pStyle w:val="ListParagraph"/>
        <w:numPr>
          <w:ilvl w:val="0"/>
          <w:numId w:val="35"/>
        </w:numPr>
        <w:rPr>
          <w:b/>
        </w:rPr>
      </w:pPr>
      <w:r>
        <w:t xml:space="preserve">A system should be in place to ensure that the required legal documentation is completed accurately and in a timely manner. </w:t>
      </w:r>
    </w:p>
    <w:p w14:paraId="44E4C44F" w14:textId="478F138E" w:rsidR="00EE7995" w:rsidRPr="00EE7995" w:rsidRDefault="000E31A3" w:rsidP="008D431E">
      <w:pPr>
        <w:pStyle w:val="ListParagraph"/>
        <w:numPr>
          <w:ilvl w:val="0"/>
          <w:numId w:val="35"/>
        </w:numPr>
        <w:rPr>
          <w:b/>
        </w:rPr>
      </w:pPr>
      <w:r>
        <w:t xml:space="preserve">The setting for the TOP service (the consultation room, the procedure room and the recovery room) should respect the need for the individual’s privacy and dignity.  </w:t>
      </w:r>
    </w:p>
    <w:p w14:paraId="5EBC9319" w14:textId="14672F2D" w:rsidR="00EE7995" w:rsidRDefault="00EE7995" w:rsidP="00EE7995"/>
    <w:p w14:paraId="55899DEC" w14:textId="77777777" w:rsidR="00EE7995" w:rsidRPr="003D47FC" w:rsidRDefault="00EE7995" w:rsidP="00EE7995"/>
    <w:p w14:paraId="23C9AA11" w14:textId="77777777" w:rsidR="001E1260" w:rsidRDefault="001E1260" w:rsidP="00F97B16"/>
    <w:p w14:paraId="54419FB6" w14:textId="77777777" w:rsidR="008A574B" w:rsidRDefault="008A574B">
      <w:pPr>
        <w:spacing w:line="240" w:lineRule="auto"/>
        <w:rPr>
          <w:rFonts w:eastAsiaTheme="majorEastAsia" w:cstheme="minorHAnsi"/>
          <w:b/>
          <w:color w:val="009051"/>
          <w:sz w:val="28"/>
          <w:szCs w:val="28"/>
        </w:rPr>
      </w:pPr>
      <w:bookmarkStart w:id="123" w:name="_Toc528572367"/>
      <w:bookmarkStart w:id="124" w:name="_Toc530407820"/>
      <w:r>
        <w:br w:type="page"/>
      </w:r>
    </w:p>
    <w:p w14:paraId="128245E2" w14:textId="681DA4A1" w:rsidR="008A574B" w:rsidRPr="00C16CE6" w:rsidRDefault="008A574B" w:rsidP="008A574B">
      <w:pPr>
        <w:pStyle w:val="Heading1"/>
        <w:numPr>
          <w:ilvl w:val="0"/>
          <w:numId w:val="0"/>
        </w:numPr>
      </w:pPr>
      <w:bookmarkStart w:id="125" w:name="_Toc8387217"/>
      <w:r w:rsidRPr="00C16CE6">
        <w:lastRenderedPageBreak/>
        <w:t>Acknowledgements</w:t>
      </w:r>
      <w:bookmarkEnd w:id="123"/>
      <w:bookmarkEnd w:id="124"/>
      <w:bookmarkEnd w:id="125"/>
    </w:p>
    <w:p w14:paraId="69CB86C0" w14:textId="2CDA7D1A" w:rsidR="004A790E" w:rsidRDefault="004A790E" w:rsidP="008A574B"/>
    <w:p w14:paraId="794AA9D4" w14:textId="013E1A2A" w:rsidR="004A790E" w:rsidRPr="00043C22" w:rsidRDefault="004A790E" w:rsidP="008A574B">
      <w:pPr>
        <w:rPr>
          <w:color w:val="000000" w:themeColor="text1"/>
          <w:szCs w:val="22"/>
        </w:rPr>
      </w:pPr>
      <w:r w:rsidRPr="00043C22">
        <w:rPr>
          <w:color w:val="000000" w:themeColor="text1"/>
          <w:szCs w:val="22"/>
        </w:rPr>
        <w:t>The National Department of Hea</w:t>
      </w:r>
      <w:r w:rsidR="00043C22" w:rsidRPr="00043C22">
        <w:rPr>
          <w:color w:val="000000" w:themeColor="text1"/>
          <w:szCs w:val="22"/>
        </w:rPr>
        <w:t xml:space="preserve">lth would like to acknowledge and is </w:t>
      </w:r>
      <w:r w:rsidRPr="00043C22">
        <w:rPr>
          <w:color w:val="000000" w:themeColor="text1"/>
          <w:szCs w:val="22"/>
        </w:rPr>
        <w:t xml:space="preserve">grateful for the extensive and commendable effort that has gone into developing this </w:t>
      </w:r>
      <w:r w:rsidR="00043C22" w:rsidRPr="00043C22">
        <w:rPr>
          <w:color w:val="000000" w:themeColor="text1"/>
        </w:rPr>
        <w:t xml:space="preserve">inaugural National Clinical Guideline for Implementation of the Choice on Termination of Pregnancy Act, </w:t>
      </w:r>
      <w:r w:rsidRPr="00043C22">
        <w:rPr>
          <w:color w:val="000000" w:themeColor="text1"/>
          <w:szCs w:val="22"/>
        </w:rPr>
        <w:t xml:space="preserve">particularly through </w:t>
      </w:r>
      <w:r w:rsidR="00043C22" w:rsidRPr="00043C22">
        <w:rPr>
          <w:color w:val="000000" w:themeColor="text1"/>
          <w:szCs w:val="22"/>
        </w:rPr>
        <w:t xml:space="preserve">the </w:t>
      </w:r>
      <w:r w:rsidRPr="00043C22">
        <w:rPr>
          <w:color w:val="000000" w:themeColor="text1"/>
          <w:szCs w:val="22"/>
        </w:rPr>
        <w:t xml:space="preserve">systematic review of the evidence, expert consultations, and gathering of technical expertise of provincial practitioners and academics, </w:t>
      </w:r>
      <w:r w:rsidR="00043C22" w:rsidRPr="00043C22">
        <w:rPr>
          <w:color w:val="000000" w:themeColor="text1"/>
          <w:szCs w:val="22"/>
        </w:rPr>
        <w:t xml:space="preserve">reproductive health and rights organizations and civil society. </w:t>
      </w:r>
    </w:p>
    <w:p w14:paraId="467E765A" w14:textId="77777777" w:rsidR="00043C22" w:rsidRPr="00043C22" w:rsidRDefault="00043C22" w:rsidP="008A574B">
      <w:pPr>
        <w:rPr>
          <w:color w:val="000000" w:themeColor="text1"/>
          <w:szCs w:val="22"/>
        </w:rPr>
      </w:pPr>
    </w:p>
    <w:p w14:paraId="7BABC9F3" w14:textId="1EDDC734" w:rsidR="008A574B" w:rsidRPr="00043C22" w:rsidRDefault="008A574B" w:rsidP="008A574B">
      <w:pPr>
        <w:rPr>
          <w:b/>
          <w:color w:val="000000" w:themeColor="text1"/>
        </w:rPr>
      </w:pPr>
    </w:p>
    <w:p w14:paraId="086F6837" w14:textId="77777777" w:rsidR="008A574B" w:rsidRDefault="008A574B" w:rsidP="008A574B">
      <w:pPr>
        <w:rPr>
          <w:lang w:val="en-US"/>
        </w:rPr>
      </w:pPr>
      <w:r>
        <w:rPr>
          <w:b/>
        </w:rPr>
        <w:t xml:space="preserve">National Department of </w:t>
      </w:r>
      <w:r w:rsidRPr="00F042E6">
        <w:rPr>
          <w:b/>
        </w:rPr>
        <w:t>H</w:t>
      </w:r>
      <w:r>
        <w:rPr>
          <w:b/>
        </w:rPr>
        <w:t>ealth L</w:t>
      </w:r>
      <w:r w:rsidRPr="00F042E6">
        <w:rPr>
          <w:b/>
        </w:rPr>
        <w:t>ead</w:t>
      </w:r>
      <w:r>
        <w:rPr>
          <w:b/>
        </w:rPr>
        <w:t>s</w:t>
      </w:r>
      <w:r w:rsidRPr="00F042E6">
        <w:rPr>
          <w:b/>
        </w:rPr>
        <w:t xml:space="preserve">: </w:t>
      </w:r>
      <w:r w:rsidRPr="00F042E6">
        <w:rPr>
          <w:lang w:val="en-US"/>
        </w:rPr>
        <w:t>Dr</w:t>
      </w:r>
      <w:r>
        <w:rPr>
          <w:lang w:val="en-US"/>
        </w:rPr>
        <w:t>.</w:t>
      </w:r>
      <w:r w:rsidRPr="00F042E6">
        <w:rPr>
          <w:lang w:val="en-US"/>
        </w:rPr>
        <w:t xml:space="preserve"> M Makua</w:t>
      </w:r>
      <w:r>
        <w:rPr>
          <w:lang w:val="en-US"/>
        </w:rPr>
        <w:t xml:space="preserve"> and Dr. Y Pillay</w:t>
      </w:r>
    </w:p>
    <w:p w14:paraId="34FDC00D" w14:textId="77777777" w:rsidR="008A574B" w:rsidRDefault="008A574B" w:rsidP="008A574B">
      <w:pPr>
        <w:rPr>
          <w:lang w:val="en-US"/>
        </w:rPr>
      </w:pPr>
    </w:p>
    <w:p w14:paraId="05BD83CD" w14:textId="77777777" w:rsidR="008A574B" w:rsidRDefault="008A574B" w:rsidP="008A574B">
      <w:pPr>
        <w:rPr>
          <w:lang w:val="en-US"/>
        </w:rPr>
      </w:pPr>
      <w:r w:rsidRPr="00764671">
        <w:rPr>
          <w:b/>
          <w:lang w:val="en-US"/>
        </w:rPr>
        <w:t>Project Man</w:t>
      </w:r>
      <w:r>
        <w:rPr>
          <w:b/>
          <w:lang w:val="en-US"/>
        </w:rPr>
        <w:t>ager and Editorial L</w:t>
      </w:r>
      <w:r w:rsidRPr="00764671">
        <w:rPr>
          <w:b/>
          <w:lang w:val="en-US"/>
        </w:rPr>
        <w:t>ead:</w:t>
      </w:r>
      <w:r>
        <w:rPr>
          <w:lang w:val="en-US"/>
        </w:rPr>
        <w:t xml:space="preserve"> Ms. R Singh, Clinton Health Access Initiative</w:t>
      </w:r>
    </w:p>
    <w:p w14:paraId="5275F11D" w14:textId="77777777" w:rsidR="008A574B" w:rsidRPr="009032D6" w:rsidRDefault="008A574B" w:rsidP="008A574B"/>
    <w:p w14:paraId="11AFD4BB" w14:textId="77777777" w:rsidR="008A574B" w:rsidRDefault="008A574B" w:rsidP="008A574B">
      <w:r>
        <w:rPr>
          <w:b/>
        </w:rPr>
        <w:t>Clinical Experts</w:t>
      </w:r>
      <w:r w:rsidRPr="00F042E6">
        <w:rPr>
          <w:b/>
        </w:rPr>
        <w:t xml:space="preserve">: </w:t>
      </w:r>
      <w:r>
        <w:t xml:space="preserve">Dr. J Hofmeyer, Dr J Kluge, Dr. J Moodley, Dr. E Mhlanga, Dr. Z Nene, Dr. M Panday, Dr. M Patel, Dr. G Petro </w:t>
      </w:r>
    </w:p>
    <w:p w14:paraId="2180D2B1" w14:textId="77777777" w:rsidR="008A574B" w:rsidRPr="009032D6" w:rsidRDefault="008A574B" w:rsidP="008A574B"/>
    <w:p w14:paraId="6E154993" w14:textId="661F9216" w:rsidR="002722D2" w:rsidRPr="00C16CE6" w:rsidRDefault="008A574B" w:rsidP="008A574B">
      <w:pPr>
        <w:rPr>
          <w:rFonts w:cstheme="minorHAnsi"/>
          <w:color w:val="009051"/>
          <w:sz w:val="28"/>
          <w:szCs w:val="28"/>
        </w:rPr>
      </w:pPr>
      <w:r w:rsidRPr="00F042E6">
        <w:rPr>
          <w:b/>
        </w:rPr>
        <w:t>Partners and CSOs</w:t>
      </w:r>
      <w:r>
        <w:rPr>
          <w:b/>
        </w:rPr>
        <w:t xml:space="preserve">:  </w:t>
      </w:r>
      <w:r>
        <w:t xml:space="preserve">FHI 360, Global Health Strategies, Ibis Reproductive Health, Ipas, MaTCH Research, </w:t>
      </w:r>
      <w:r w:rsidRPr="00EB678C">
        <w:rPr>
          <w:lang w:val="en-CA"/>
        </w:rPr>
        <w:t>Médecins Sans Frontières</w:t>
      </w:r>
      <w:r>
        <w:rPr>
          <w:lang w:val="en-CA"/>
        </w:rPr>
        <w:t xml:space="preserve"> / Doctors Without Borders</w:t>
      </w:r>
      <w:r>
        <w:t xml:space="preserve">, Right to Care, Section 27, Sexual and Reproductive Justice Coalition, University of Cape Town - Groote Schuur Hospital, University of Cape Town - Women’s Health Research Unit, United Nations Population Fund (UNFPA), University of Pretoria, University of Western Cape School of Public Health, WHO Reproductive Health and Research, and Wits Reproductive Health and HIV Institute (Wits RHI). </w:t>
      </w:r>
      <w:r w:rsidR="002722D2" w:rsidRPr="00C16CE6">
        <w:br w:type="page"/>
      </w:r>
    </w:p>
    <w:p w14:paraId="35DBB44B" w14:textId="7CC9346E" w:rsidR="00B27FD6" w:rsidRPr="00C16CE6" w:rsidRDefault="002722D2" w:rsidP="005A01B7">
      <w:pPr>
        <w:pStyle w:val="Heading1"/>
        <w:numPr>
          <w:ilvl w:val="0"/>
          <w:numId w:val="0"/>
        </w:numPr>
      </w:pPr>
      <w:bookmarkStart w:id="126" w:name="_Toc530407844"/>
      <w:bookmarkStart w:id="127" w:name="_Toc8387218"/>
      <w:r w:rsidRPr="00C16CE6">
        <w:lastRenderedPageBreak/>
        <w:t>References</w:t>
      </w:r>
      <w:bookmarkEnd w:id="126"/>
      <w:bookmarkEnd w:id="127"/>
      <w:r w:rsidRPr="00C16CE6">
        <w:fldChar w:fldCharType="begin"/>
      </w:r>
      <w:r w:rsidRPr="00C16CE6">
        <w:instrText xml:space="preserve"> ADDIN EN.SECTION.REFLIST </w:instrText>
      </w:r>
      <w:r w:rsidRPr="00C16CE6">
        <w:fldChar w:fldCharType="end"/>
      </w:r>
    </w:p>
    <w:p w14:paraId="502306B7" w14:textId="77777777" w:rsidR="00B27FD6" w:rsidRPr="00C16CE6" w:rsidRDefault="00B27FD6" w:rsidP="002722D2"/>
    <w:p w14:paraId="36D1233F" w14:textId="77777777" w:rsidR="005A01B7" w:rsidRPr="005A01B7" w:rsidRDefault="00B27FD6" w:rsidP="005A01B7">
      <w:pPr>
        <w:pStyle w:val="EndNoteBibliography"/>
        <w:spacing w:after="120"/>
        <w:ind w:left="720" w:hanging="720"/>
        <w:rPr>
          <w:noProof/>
        </w:rPr>
      </w:pPr>
      <w:r w:rsidRPr="00C16CE6">
        <w:rPr>
          <w:lang w:val="en-GB"/>
        </w:rPr>
        <w:fldChar w:fldCharType="begin"/>
      </w:r>
      <w:r w:rsidRPr="00C16CE6">
        <w:rPr>
          <w:lang w:val="en-GB"/>
        </w:rPr>
        <w:instrText xml:space="preserve"> ADDIN EN.REFLIST </w:instrText>
      </w:r>
      <w:r w:rsidRPr="00C16CE6">
        <w:rPr>
          <w:lang w:val="en-GB"/>
        </w:rPr>
        <w:fldChar w:fldCharType="separate"/>
      </w:r>
      <w:r w:rsidR="005A01B7" w:rsidRPr="005A01B7">
        <w:rPr>
          <w:noProof/>
        </w:rPr>
        <w:t>1.</w:t>
      </w:r>
      <w:r w:rsidR="005A01B7" w:rsidRPr="005A01B7">
        <w:rPr>
          <w:noProof/>
        </w:rPr>
        <w:tab/>
        <w:t xml:space="preserve">Government of South Africa, </w:t>
      </w:r>
      <w:r w:rsidR="005A01B7" w:rsidRPr="005A01B7">
        <w:rPr>
          <w:i/>
          <w:noProof/>
        </w:rPr>
        <w:t>Choice on Termination of Pregnancy Act 92</w:t>
      </w:r>
      <w:r w:rsidR="005A01B7" w:rsidRPr="005A01B7">
        <w:rPr>
          <w:noProof/>
        </w:rPr>
        <w:t>. 1996.</w:t>
      </w:r>
    </w:p>
    <w:p w14:paraId="4FA7E9F9" w14:textId="77777777" w:rsidR="005A01B7" w:rsidRPr="005A01B7" w:rsidRDefault="005A01B7" w:rsidP="005A01B7">
      <w:pPr>
        <w:pStyle w:val="EndNoteBibliography"/>
        <w:spacing w:after="120"/>
        <w:ind w:left="720" w:hanging="720"/>
        <w:rPr>
          <w:noProof/>
        </w:rPr>
      </w:pPr>
      <w:r w:rsidRPr="005A01B7">
        <w:rPr>
          <w:noProof/>
        </w:rPr>
        <w:t>2.</w:t>
      </w:r>
      <w:r w:rsidRPr="005A01B7">
        <w:rPr>
          <w:noProof/>
        </w:rPr>
        <w:tab/>
        <w:t xml:space="preserve">Government of South Africa, </w:t>
      </w:r>
      <w:r w:rsidRPr="005A01B7">
        <w:rPr>
          <w:i/>
          <w:noProof/>
        </w:rPr>
        <w:t>Choice on Termination of Pregnancy Amendment Act 38 (Sections 1, 3, 7-10)</w:t>
      </w:r>
      <w:r w:rsidRPr="005A01B7">
        <w:rPr>
          <w:noProof/>
        </w:rPr>
        <w:t>. 2004.</w:t>
      </w:r>
    </w:p>
    <w:p w14:paraId="53E550CD" w14:textId="77777777" w:rsidR="005A01B7" w:rsidRPr="005A01B7" w:rsidRDefault="005A01B7" w:rsidP="005A01B7">
      <w:pPr>
        <w:pStyle w:val="EndNoteBibliography"/>
        <w:spacing w:after="120"/>
        <w:ind w:left="720" w:hanging="720"/>
        <w:rPr>
          <w:noProof/>
        </w:rPr>
      </w:pPr>
      <w:r w:rsidRPr="005A01B7">
        <w:rPr>
          <w:noProof/>
        </w:rPr>
        <w:t>3.</w:t>
      </w:r>
      <w:r w:rsidRPr="005A01B7">
        <w:rPr>
          <w:noProof/>
        </w:rPr>
        <w:tab/>
        <w:t xml:space="preserve">Government of South Africa, </w:t>
      </w:r>
      <w:r w:rsidRPr="005A01B7">
        <w:rPr>
          <w:i/>
          <w:noProof/>
        </w:rPr>
        <w:t>Choice on Termination of Pregnancy Amendment Act 1 (Sections 1, 3, 7-10)</w:t>
      </w:r>
      <w:r w:rsidRPr="005A01B7">
        <w:rPr>
          <w:noProof/>
        </w:rPr>
        <w:t>. 2008.</w:t>
      </w:r>
    </w:p>
    <w:p w14:paraId="4D418266" w14:textId="6ABB2B78" w:rsidR="005A01B7" w:rsidRPr="005A01B7" w:rsidRDefault="005A01B7" w:rsidP="005A01B7">
      <w:pPr>
        <w:pStyle w:val="EndNoteBibliography"/>
        <w:spacing w:after="120"/>
        <w:ind w:left="720" w:hanging="720"/>
        <w:rPr>
          <w:noProof/>
        </w:rPr>
      </w:pPr>
      <w:r w:rsidRPr="005A01B7">
        <w:rPr>
          <w:noProof/>
        </w:rPr>
        <w:t>4.</w:t>
      </w:r>
      <w:r w:rsidRPr="005A01B7">
        <w:rPr>
          <w:noProof/>
        </w:rPr>
        <w:tab/>
        <w:t xml:space="preserve">Government of South Africa, </w:t>
      </w:r>
      <w:r w:rsidRPr="005A01B7">
        <w:rPr>
          <w:i/>
          <w:noProof/>
        </w:rPr>
        <w:t>Criminal Law (Sexual Offences and Related Matters) Amendment Act 32</w:t>
      </w:r>
      <w:r w:rsidRPr="005A01B7">
        <w:rPr>
          <w:noProof/>
        </w:rPr>
        <w:t>. 2007.</w:t>
      </w:r>
    </w:p>
    <w:p w14:paraId="7F993B16" w14:textId="1694CC95" w:rsidR="005A01B7" w:rsidRPr="005A01B7" w:rsidRDefault="005A01B7" w:rsidP="005A01B7">
      <w:pPr>
        <w:pStyle w:val="EndNoteBibliography"/>
        <w:spacing w:after="120"/>
        <w:ind w:left="720" w:hanging="720"/>
        <w:rPr>
          <w:noProof/>
        </w:rPr>
      </w:pPr>
      <w:r w:rsidRPr="005A01B7">
        <w:rPr>
          <w:noProof/>
        </w:rPr>
        <w:t>5.</w:t>
      </w:r>
      <w:r w:rsidRPr="005A01B7">
        <w:rPr>
          <w:noProof/>
        </w:rPr>
        <w:tab/>
        <w:t xml:space="preserve">Jewkes, R., H. Rees, K. Dickson, H. Brown, and J. Levin, </w:t>
      </w:r>
      <w:r w:rsidRPr="005A01B7">
        <w:rPr>
          <w:i/>
          <w:noProof/>
        </w:rPr>
        <w:t>The impact of age on the epidemiology of incomplete abortions in South Africa after legislative change.</w:t>
      </w:r>
      <w:r w:rsidR="004F777A">
        <w:rPr>
          <w:noProof/>
        </w:rPr>
        <w:t xml:space="preserve"> BJOG</w:t>
      </w:r>
      <w:r w:rsidRPr="005A01B7">
        <w:rPr>
          <w:noProof/>
        </w:rPr>
        <w:t xml:space="preserve">, 2005. </w:t>
      </w:r>
      <w:r w:rsidRPr="005A01B7">
        <w:rPr>
          <w:b/>
          <w:noProof/>
        </w:rPr>
        <w:t>112</w:t>
      </w:r>
      <w:r w:rsidRPr="005A01B7">
        <w:rPr>
          <w:noProof/>
        </w:rPr>
        <w:t>(3): p. 355-9.</w:t>
      </w:r>
    </w:p>
    <w:p w14:paraId="6B642712" w14:textId="77777777" w:rsidR="005A01B7" w:rsidRPr="005A01B7" w:rsidRDefault="005A01B7" w:rsidP="005A01B7">
      <w:pPr>
        <w:pStyle w:val="EndNoteBibliography"/>
        <w:spacing w:after="120"/>
        <w:ind w:left="720" w:hanging="720"/>
        <w:rPr>
          <w:noProof/>
        </w:rPr>
      </w:pPr>
      <w:r w:rsidRPr="005A01B7">
        <w:rPr>
          <w:noProof/>
        </w:rPr>
        <w:t>6.</w:t>
      </w:r>
      <w:r w:rsidRPr="005A01B7">
        <w:rPr>
          <w:noProof/>
        </w:rPr>
        <w:tab/>
        <w:t xml:space="preserve">Government of South Africa, </w:t>
      </w:r>
      <w:r w:rsidRPr="005A01B7">
        <w:rPr>
          <w:i/>
          <w:noProof/>
        </w:rPr>
        <w:t>Saving Mothers 2011-2013: Sixth report on confidential enquiries into maternal deaths in South Africa</w:t>
      </w:r>
      <w:r w:rsidRPr="005A01B7">
        <w:rPr>
          <w:noProof/>
        </w:rPr>
        <w:t>. 2014, Department of Health: Pretoria.</w:t>
      </w:r>
    </w:p>
    <w:p w14:paraId="1B108950" w14:textId="77777777" w:rsidR="005A01B7" w:rsidRPr="005A01B7" w:rsidRDefault="005A01B7" w:rsidP="005A01B7">
      <w:pPr>
        <w:pStyle w:val="EndNoteBibliography"/>
        <w:spacing w:after="120"/>
        <w:ind w:left="720" w:hanging="720"/>
        <w:rPr>
          <w:noProof/>
        </w:rPr>
      </w:pPr>
      <w:r w:rsidRPr="005A01B7">
        <w:rPr>
          <w:noProof/>
        </w:rPr>
        <w:t>7.</w:t>
      </w:r>
      <w:r w:rsidRPr="005A01B7">
        <w:rPr>
          <w:noProof/>
        </w:rPr>
        <w:tab/>
        <w:t xml:space="preserve">Government of South Africa, </w:t>
      </w:r>
      <w:r w:rsidRPr="005A01B7">
        <w:rPr>
          <w:i/>
          <w:noProof/>
        </w:rPr>
        <w:t>Saving Mothers 2014-2016: Seventh triennial report on confidential enquiries into maternal deaths in South Africa: Short report</w:t>
      </w:r>
      <w:r w:rsidRPr="005A01B7">
        <w:rPr>
          <w:noProof/>
        </w:rPr>
        <w:t>. 2017, Department of Health: Pretoria.</w:t>
      </w:r>
    </w:p>
    <w:p w14:paraId="4150BA35" w14:textId="77777777" w:rsidR="005A01B7" w:rsidRPr="005A01B7" w:rsidRDefault="005A01B7" w:rsidP="005A01B7">
      <w:pPr>
        <w:pStyle w:val="EndNoteBibliography"/>
        <w:spacing w:after="120"/>
        <w:ind w:left="720" w:hanging="720"/>
        <w:rPr>
          <w:noProof/>
        </w:rPr>
      </w:pPr>
      <w:r w:rsidRPr="005A01B7">
        <w:rPr>
          <w:noProof/>
        </w:rPr>
        <w:t>8.</w:t>
      </w:r>
      <w:r w:rsidRPr="005A01B7">
        <w:rPr>
          <w:noProof/>
        </w:rPr>
        <w:tab/>
        <w:t xml:space="preserve">Alkema, L., D. Chou, D. Hogan, S. Zhang, A.-B. Moller, A. Gemmill, et al., </w:t>
      </w:r>
      <w:r w:rsidRPr="005A01B7">
        <w:rPr>
          <w:i/>
          <w:noProof/>
        </w:rPr>
        <w:t>Global, regional, and national levels and trends in maternal mortality between 1990 and 2015, with scenario-based projections to 2030: a systematic analysis by the UN Maternal Mortality Estimation Inter-Agency Group.</w:t>
      </w:r>
      <w:r w:rsidRPr="005A01B7">
        <w:rPr>
          <w:noProof/>
        </w:rPr>
        <w:t xml:space="preserve"> Lancet (London, England), 2016. </w:t>
      </w:r>
      <w:r w:rsidRPr="005A01B7">
        <w:rPr>
          <w:b/>
          <w:noProof/>
        </w:rPr>
        <w:t>387</w:t>
      </w:r>
      <w:r w:rsidRPr="005A01B7">
        <w:rPr>
          <w:noProof/>
        </w:rPr>
        <w:t>(10017): p. 462-474.</w:t>
      </w:r>
    </w:p>
    <w:p w14:paraId="0BC055B2" w14:textId="77777777" w:rsidR="005A01B7" w:rsidRPr="005A01B7" w:rsidRDefault="005A01B7" w:rsidP="005A01B7">
      <w:pPr>
        <w:pStyle w:val="EndNoteBibliography"/>
        <w:spacing w:after="120"/>
        <w:ind w:left="720" w:hanging="720"/>
        <w:rPr>
          <w:noProof/>
        </w:rPr>
      </w:pPr>
      <w:r w:rsidRPr="005A01B7">
        <w:rPr>
          <w:noProof/>
        </w:rPr>
        <w:t>9.</w:t>
      </w:r>
      <w:r w:rsidRPr="005A01B7">
        <w:rPr>
          <w:noProof/>
        </w:rPr>
        <w:tab/>
        <w:t xml:space="preserve">Gerdts, C., S. Raifman, K. Daskilewicz, M. Momberg, S. Roberts, and J. Harries, </w:t>
      </w:r>
      <w:r w:rsidRPr="005A01B7">
        <w:rPr>
          <w:i/>
          <w:noProof/>
        </w:rPr>
        <w:t>Women's experiences seeking informal sector abortion services in Cape Town, South Africa: a descriptive study.</w:t>
      </w:r>
      <w:r w:rsidRPr="005A01B7">
        <w:rPr>
          <w:noProof/>
        </w:rPr>
        <w:t xml:space="preserve"> BMC women's health, 2017. </w:t>
      </w:r>
      <w:r w:rsidRPr="005A01B7">
        <w:rPr>
          <w:b/>
          <w:noProof/>
        </w:rPr>
        <w:t>17</w:t>
      </w:r>
      <w:r w:rsidRPr="005A01B7">
        <w:rPr>
          <w:noProof/>
        </w:rPr>
        <w:t>(1): p. 95-95.</w:t>
      </w:r>
    </w:p>
    <w:p w14:paraId="26953E05" w14:textId="77777777" w:rsidR="005A01B7" w:rsidRPr="005A01B7" w:rsidRDefault="005A01B7" w:rsidP="005A01B7">
      <w:pPr>
        <w:pStyle w:val="EndNoteBibliography"/>
        <w:spacing w:after="120"/>
        <w:ind w:left="720" w:hanging="720"/>
        <w:rPr>
          <w:noProof/>
        </w:rPr>
      </w:pPr>
      <w:r w:rsidRPr="005A01B7">
        <w:rPr>
          <w:noProof/>
        </w:rPr>
        <w:t>10.</w:t>
      </w:r>
      <w:r w:rsidRPr="005A01B7">
        <w:rPr>
          <w:noProof/>
        </w:rPr>
        <w:tab/>
        <w:t xml:space="preserve">Trueman, K.A. and M. Magwentshu, </w:t>
      </w:r>
      <w:r w:rsidRPr="005A01B7">
        <w:rPr>
          <w:i/>
          <w:noProof/>
        </w:rPr>
        <w:t>Abortion in a progressive legal environment: the need for vigilance in protecting and promoting access to safe abortion services in South Africa.</w:t>
      </w:r>
      <w:r w:rsidRPr="005A01B7">
        <w:rPr>
          <w:noProof/>
        </w:rPr>
        <w:t xml:space="preserve"> Am J Public Health, 2013. </w:t>
      </w:r>
      <w:r w:rsidRPr="005A01B7">
        <w:rPr>
          <w:b/>
          <w:noProof/>
        </w:rPr>
        <w:t>103</w:t>
      </w:r>
      <w:r w:rsidRPr="005A01B7">
        <w:rPr>
          <w:noProof/>
        </w:rPr>
        <w:t>(3): p. 397-9.</w:t>
      </w:r>
    </w:p>
    <w:p w14:paraId="2EF70AC2" w14:textId="77777777" w:rsidR="005A01B7" w:rsidRPr="005A01B7" w:rsidRDefault="005A01B7" w:rsidP="005A01B7">
      <w:pPr>
        <w:pStyle w:val="EndNoteBibliography"/>
        <w:spacing w:after="120"/>
        <w:ind w:left="720" w:hanging="720"/>
        <w:rPr>
          <w:noProof/>
        </w:rPr>
      </w:pPr>
      <w:r w:rsidRPr="005A01B7">
        <w:rPr>
          <w:noProof/>
        </w:rPr>
        <w:t>11.</w:t>
      </w:r>
      <w:r w:rsidRPr="005A01B7">
        <w:rPr>
          <w:noProof/>
        </w:rPr>
        <w:tab/>
        <w:t xml:space="preserve">Harries, J., D. Cooper, A. Strebel, and C.J. Colvin, </w:t>
      </w:r>
      <w:r w:rsidRPr="005A01B7">
        <w:rPr>
          <w:i/>
          <w:noProof/>
        </w:rPr>
        <w:t>Conscientious objection and its impact on abortion service provision in South Africa: a qualitative study.</w:t>
      </w:r>
      <w:r w:rsidRPr="005A01B7">
        <w:rPr>
          <w:noProof/>
        </w:rPr>
        <w:t xml:space="preserve"> Reproductive health, 2014. </w:t>
      </w:r>
      <w:r w:rsidRPr="005A01B7">
        <w:rPr>
          <w:b/>
          <w:noProof/>
        </w:rPr>
        <w:t>11</w:t>
      </w:r>
      <w:r w:rsidRPr="005A01B7">
        <w:rPr>
          <w:noProof/>
        </w:rPr>
        <w:t>(1): p. 16-16.</w:t>
      </w:r>
    </w:p>
    <w:p w14:paraId="1DF8DB07" w14:textId="77777777" w:rsidR="005A01B7" w:rsidRPr="005A01B7" w:rsidRDefault="005A01B7" w:rsidP="005A01B7">
      <w:pPr>
        <w:pStyle w:val="EndNoteBibliography"/>
        <w:spacing w:after="120"/>
        <w:ind w:left="720" w:hanging="720"/>
        <w:rPr>
          <w:noProof/>
        </w:rPr>
      </w:pPr>
      <w:r w:rsidRPr="005A01B7">
        <w:rPr>
          <w:noProof/>
        </w:rPr>
        <w:t>12.</w:t>
      </w:r>
      <w:r w:rsidRPr="005A01B7">
        <w:rPr>
          <w:noProof/>
        </w:rPr>
        <w:tab/>
        <w:t xml:space="preserve">Jewkes, R.K., T. Gumede, M.S. Westaway, K. Dickson, H. Brown, and H. Rees, </w:t>
      </w:r>
      <w:r w:rsidRPr="005A01B7">
        <w:rPr>
          <w:i/>
          <w:noProof/>
        </w:rPr>
        <w:t>Why are women still aborting outside designated facilities in metropolitan South Africa?</w:t>
      </w:r>
      <w:r w:rsidRPr="005A01B7">
        <w:rPr>
          <w:noProof/>
        </w:rPr>
        <w:t xml:space="preserve"> BJOG: An International Journal of Obstetrics &amp; Gynaecology, 2005. </w:t>
      </w:r>
      <w:r w:rsidRPr="005A01B7">
        <w:rPr>
          <w:b/>
          <w:noProof/>
        </w:rPr>
        <w:t>112</w:t>
      </w:r>
      <w:r w:rsidRPr="005A01B7">
        <w:rPr>
          <w:noProof/>
        </w:rPr>
        <w:t>(9): p. 1236-1242.</w:t>
      </w:r>
    </w:p>
    <w:p w14:paraId="385B55A5" w14:textId="77777777" w:rsidR="005A01B7" w:rsidRPr="005A01B7" w:rsidRDefault="005A01B7" w:rsidP="005A01B7">
      <w:pPr>
        <w:pStyle w:val="EndNoteBibliography"/>
        <w:spacing w:after="120"/>
        <w:ind w:left="720" w:hanging="720"/>
        <w:rPr>
          <w:noProof/>
        </w:rPr>
      </w:pPr>
      <w:r w:rsidRPr="005A01B7">
        <w:rPr>
          <w:noProof/>
        </w:rPr>
        <w:t>13.</w:t>
      </w:r>
      <w:r w:rsidRPr="005A01B7">
        <w:rPr>
          <w:noProof/>
        </w:rPr>
        <w:tab/>
        <w:t xml:space="preserve">World Health Organization, </w:t>
      </w:r>
      <w:r w:rsidRPr="005A01B7">
        <w:rPr>
          <w:i/>
          <w:noProof/>
        </w:rPr>
        <w:t>Clinical practice handbook for safe abortion</w:t>
      </w:r>
      <w:r w:rsidRPr="005A01B7">
        <w:rPr>
          <w:noProof/>
        </w:rPr>
        <w:t>. 2014, WHO: Geneva.</w:t>
      </w:r>
    </w:p>
    <w:p w14:paraId="7E6F3223" w14:textId="52949021" w:rsidR="006215FF" w:rsidRDefault="00B27FD6" w:rsidP="005A01B7">
      <w:pPr>
        <w:spacing w:after="120" w:line="240" w:lineRule="auto"/>
      </w:pPr>
      <w:r w:rsidRPr="00C16CE6">
        <w:fldChar w:fldCharType="end"/>
      </w:r>
    </w:p>
    <w:p w14:paraId="286A1EC0" w14:textId="0A2A80A6" w:rsidR="00764BE6" w:rsidRDefault="00764BE6" w:rsidP="005A01B7">
      <w:pPr>
        <w:spacing w:after="120" w:line="240" w:lineRule="auto"/>
      </w:pPr>
    </w:p>
    <w:p w14:paraId="1B960C11" w14:textId="66599EA6" w:rsidR="00764BE6" w:rsidRDefault="00764BE6" w:rsidP="005A01B7">
      <w:pPr>
        <w:spacing w:after="120" w:line="240" w:lineRule="auto"/>
      </w:pPr>
    </w:p>
    <w:p w14:paraId="1728222B" w14:textId="79B3999E" w:rsidR="00764BE6" w:rsidRDefault="00764BE6" w:rsidP="005A01B7">
      <w:pPr>
        <w:spacing w:after="120" w:line="240" w:lineRule="auto"/>
      </w:pPr>
    </w:p>
    <w:p w14:paraId="7A1945F8" w14:textId="369E39CC" w:rsidR="00764BE6" w:rsidRDefault="00764BE6" w:rsidP="005A01B7">
      <w:pPr>
        <w:spacing w:after="120" w:line="240" w:lineRule="auto"/>
      </w:pPr>
    </w:p>
    <w:p w14:paraId="5485AD34" w14:textId="76859A7E" w:rsidR="00B84ADE" w:rsidRDefault="00B84ADE" w:rsidP="005A01B7">
      <w:pPr>
        <w:spacing w:after="120" w:line="240" w:lineRule="auto"/>
        <w:rPr>
          <w:szCs w:val="22"/>
        </w:rPr>
        <w:sectPr w:rsidR="00B84ADE" w:rsidSect="00C31374">
          <w:footerReference w:type="default" r:id="rId19"/>
          <w:pgSz w:w="12240" w:h="15840"/>
          <w:pgMar w:top="1440" w:right="1440" w:bottom="1440" w:left="1440" w:header="720" w:footer="720" w:gutter="0"/>
          <w:pgNumType w:start="1"/>
          <w:cols w:space="720"/>
          <w:docGrid w:linePitch="360"/>
        </w:sectPr>
      </w:pPr>
    </w:p>
    <w:p w14:paraId="2AE73815" w14:textId="7E84C057" w:rsidR="00B84ADE" w:rsidRDefault="00B84ADE" w:rsidP="005A01B7">
      <w:pPr>
        <w:spacing w:after="120" w:line="240" w:lineRule="auto"/>
        <w:rPr>
          <w:b/>
          <w:sz w:val="28"/>
        </w:rPr>
      </w:pPr>
      <w:r>
        <w:rPr>
          <w:b/>
          <w:sz w:val="28"/>
        </w:rPr>
        <w:lastRenderedPageBreak/>
        <w:t xml:space="preserve">Annex 1: Definition of minimum operational requirements for each TOP procedure, as per the CTOP Act of 1996 and Amendments of 2004 and 2008 </w:t>
      </w:r>
    </w:p>
    <w:p w14:paraId="1F357DD9" w14:textId="43E5F7E8" w:rsidR="00764BE6" w:rsidRDefault="00517401" w:rsidP="005A01B7">
      <w:pPr>
        <w:spacing w:after="120" w:line="240" w:lineRule="auto"/>
        <w:rPr>
          <w:b/>
          <w:sz w:val="28"/>
        </w:rPr>
      </w:pPr>
      <w:r w:rsidRPr="00517401">
        <w:rPr>
          <w:b/>
          <w:noProof/>
          <w:sz w:val="28"/>
          <w:lang w:val="en-ZA" w:eastAsia="en-ZA"/>
        </w:rPr>
        <w:drawing>
          <wp:inline distT="0" distB="0" distL="0" distR="0" wp14:anchorId="68645512" wp14:editId="4B89EDFC">
            <wp:extent cx="7866994" cy="5351498"/>
            <wp:effectExtent l="12700" t="12700" r="762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868348" cy="5352419"/>
                    </a:xfrm>
                    <a:prstGeom prst="rect">
                      <a:avLst/>
                    </a:prstGeom>
                    <a:ln>
                      <a:solidFill>
                        <a:schemeClr val="tx1"/>
                      </a:solidFill>
                    </a:ln>
                  </pic:spPr>
                </pic:pic>
              </a:graphicData>
            </a:graphic>
          </wp:inline>
        </w:drawing>
      </w:r>
    </w:p>
    <w:p w14:paraId="7F3B932C" w14:textId="77777777" w:rsidR="00517401" w:rsidRDefault="00517401" w:rsidP="005A01B7">
      <w:pPr>
        <w:spacing w:after="120" w:line="240" w:lineRule="auto"/>
        <w:rPr>
          <w:b/>
          <w:sz w:val="28"/>
        </w:rPr>
        <w:sectPr w:rsidR="00517401" w:rsidSect="00B84ADE">
          <w:pgSz w:w="15840" w:h="12240" w:orient="landscape"/>
          <w:pgMar w:top="1440" w:right="1440" w:bottom="1440" w:left="1440" w:header="720" w:footer="720" w:gutter="0"/>
          <w:pgNumType w:start="1"/>
          <w:cols w:space="720"/>
          <w:docGrid w:linePitch="360"/>
        </w:sectPr>
      </w:pPr>
    </w:p>
    <w:p w14:paraId="6A755D4D" w14:textId="5563A3E5" w:rsidR="003701EE" w:rsidRDefault="003701EE" w:rsidP="003701EE">
      <w:pPr>
        <w:spacing w:after="120" w:line="240" w:lineRule="auto"/>
        <w:rPr>
          <w:b/>
          <w:sz w:val="28"/>
        </w:rPr>
      </w:pPr>
      <w:r>
        <w:rPr>
          <w:b/>
          <w:sz w:val="28"/>
        </w:rPr>
        <w:lastRenderedPageBreak/>
        <w:t xml:space="preserve">Annex 2: Pregnancy dating by physical examination (bimanual pelvic and abdominal examination) </w:t>
      </w:r>
    </w:p>
    <w:p w14:paraId="614C3496" w14:textId="65F6098A" w:rsidR="003701EE" w:rsidRDefault="003701EE" w:rsidP="003701EE">
      <w:pPr>
        <w:spacing w:after="120" w:line="240" w:lineRule="auto"/>
        <w:rPr>
          <w:b/>
          <w:sz w:val="28"/>
        </w:rPr>
      </w:pPr>
      <w:r>
        <w:rPr>
          <w:b/>
          <w:noProof/>
          <w:sz w:val="28"/>
          <w:lang w:val="en-ZA" w:eastAsia="en-ZA"/>
        </w:rPr>
        <w:drawing>
          <wp:anchor distT="0" distB="0" distL="114300" distR="114300" simplePos="0" relativeHeight="251685888" behindDoc="0" locked="0" layoutInCell="1" allowOverlap="1" wp14:anchorId="1AF4C482" wp14:editId="7A49A145">
            <wp:simplePos x="0" y="0"/>
            <wp:positionH relativeFrom="column">
              <wp:posOffset>196769</wp:posOffset>
            </wp:positionH>
            <wp:positionV relativeFrom="paragraph">
              <wp:posOffset>3917668</wp:posOffset>
            </wp:positionV>
            <wp:extent cx="5769980" cy="379857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19-05-09 at 2.54.14 PM.png"/>
                    <pic:cNvPicPr/>
                  </pic:nvPicPr>
                  <pic:blipFill>
                    <a:blip r:embed="rId21">
                      <a:extLst>
                        <a:ext uri="{28A0092B-C50C-407E-A947-70E740481C1C}">
                          <a14:useLocalDpi xmlns:a14="http://schemas.microsoft.com/office/drawing/2010/main" val="0"/>
                        </a:ext>
                      </a:extLst>
                    </a:blip>
                    <a:stretch>
                      <a:fillRect/>
                    </a:stretch>
                  </pic:blipFill>
                  <pic:spPr>
                    <a:xfrm>
                      <a:off x="0" y="0"/>
                      <a:ext cx="5769980" cy="3798570"/>
                    </a:xfrm>
                    <a:prstGeom prst="rect">
                      <a:avLst/>
                    </a:prstGeom>
                  </pic:spPr>
                </pic:pic>
              </a:graphicData>
            </a:graphic>
            <wp14:sizeRelH relativeFrom="page">
              <wp14:pctWidth>0</wp14:pctWidth>
            </wp14:sizeRelH>
            <wp14:sizeRelV relativeFrom="page">
              <wp14:pctHeight>0</wp14:pctHeight>
            </wp14:sizeRelV>
          </wp:anchor>
        </w:drawing>
      </w:r>
      <w:r>
        <w:rPr>
          <w:b/>
          <w:noProof/>
          <w:sz w:val="28"/>
          <w:lang w:val="en-ZA" w:eastAsia="en-ZA"/>
        </w:rPr>
        <w:drawing>
          <wp:inline distT="0" distB="0" distL="0" distR="0" wp14:anchorId="46239463" wp14:editId="25FF2EA5">
            <wp:extent cx="5943600" cy="390779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19-05-09 at 2.53.55 PM.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907790"/>
                    </a:xfrm>
                    <a:prstGeom prst="rect">
                      <a:avLst/>
                    </a:prstGeom>
                  </pic:spPr>
                </pic:pic>
              </a:graphicData>
            </a:graphic>
          </wp:inline>
        </w:drawing>
      </w:r>
    </w:p>
    <w:p w14:paraId="2DCFEACE" w14:textId="16736EAC" w:rsidR="003701EE" w:rsidRDefault="003701EE" w:rsidP="003701EE">
      <w:pPr>
        <w:spacing w:after="120" w:line="240" w:lineRule="auto"/>
        <w:rPr>
          <w:b/>
          <w:sz w:val="28"/>
        </w:rPr>
      </w:pPr>
    </w:p>
    <w:p w14:paraId="06A1A996" w14:textId="1169F631" w:rsidR="00A4224A" w:rsidRDefault="0076247A" w:rsidP="00A4224A">
      <w:pPr>
        <w:spacing w:after="120" w:line="240" w:lineRule="auto"/>
        <w:rPr>
          <w:b/>
          <w:sz w:val="28"/>
        </w:rPr>
      </w:pPr>
      <w:r>
        <w:rPr>
          <w:b/>
          <w:sz w:val="28"/>
        </w:rPr>
        <w:t xml:space="preserve">Annex 3a: Annexure A – Choice on Termination of Pregnancy Act, 1996 (Act No. 92 of 1996) Notification of Termination of Pregnancy in terms of Section 7 of the Act Form </w:t>
      </w:r>
    </w:p>
    <w:p w14:paraId="01AA7AF1" w14:textId="07642A3E" w:rsidR="003701EE" w:rsidRDefault="003701EE" w:rsidP="003701EE">
      <w:pPr>
        <w:spacing w:after="120" w:line="240" w:lineRule="auto"/>
        <w:rPr>
          <w:b/>
          <w:sz w:val="28"/>
        </w:rPr>
      </w:pPr>
    </w:p>
    <w:p w14:paraId="47B1D9D7" w14:textId="470C48C5" w:rsidR="003701EE" w:rsidRDefault="003701EE" w:rsidP="003701EE">
      <w:pPr>
        <w:spacing w:after="120" w:line="240" w:lineRule="auto"/>
        <w:rPr>
          <w:b/>
          <w:sz w:val="28"/>
        </w:rPr>
      </w:pPr>
    </w:p>
    <w:p w14:paraId="2CA0848D" w14:textId="5928045B" w:rsidR="003701EE" w:rsidRDefault="003701EE" w:rsidP="003701EE">
      <w:pPr>
        <w:spacing w:after="120" w:line="240" w:lineRule="auto"/>
        <w:rPr>
          <w:b/>
          <w:sz w:val="28"/>
        </w:rPr>
      </w:pPr>
    </w:p>
    <w:p w14:paraId="34041125" w14:textId="13094703" w:rsidR="003701EE" w:rsidRDefault="003701EE" w:rsidP="003701EE">
      <w:pPr>
        <w:spacing w:after="120" w:line="240" w:lineRule="auto"/>
        <w:rPr>
          <w:b/>
          <w:sz w:val="28"/>
        </w:rPr>
      </w:pPr>
    </w:p>
    <w:p w14:paraId="2D2FB0AB" w14:textId="5E031523" w:rsidR="003701EE" w:rsidRDefault="003701EE" w:rsidP="003701EE">
      <w:pPr>
        <w:spacing w:after="120" w:line="240" w:lineRule="auto"/>
        <w:rPr>
          <w:b/>
          <w:sz w:val="28"/>
        </w:rPr>
      </w:pPr>
      <w:r>
        <w:rPr>
          <w:b/>
          <w:sz w:val="28"/>
        </w:rPr>
        <w:t xml:space="preserve"> </w:t>
      </w:r>
    </w:p>
    <w:p w14:paraId="587A918F" w14:textId="469C8F8B" w:rsidR="00B84ADE" w:rsidRDefault="00B84ADE" w:rsidP="005A01B7">
      <w:pPr>
        <w:spacing w:after="120" w:line="240" w:lineRule="auto"/>
        <w:rPr>
          <w:b/>
          <w:sz w:val="28"/>
        </w:rPr>
      </w:pPr>
    </w:p>
    <w:p w14:paraId="754BA0C5" w14:textId="716395F5" w:rsidR="00764BE6" w:rsidRDefault="00764BE6" w:rsidP="005A01B7">
      <w:pPr>
        <w:spacing w:after="120" w:line="240" w:lineRule="auto"/>
        <w:rPr>
          <w:b/>
          <w:sz w:val="28"/>
        </w:rPr>
      </w:pPr>
    </w:p>
    <w:p w14:paraId="147CC387" w14:textId="1165DEB3" w:rsidR="00764BE6" w:rsidRDefault="00764BE6" w:rsidP="005A01B7">
      <w:pPr>
        <w:spacing w:after="120" w:line="240" w:lineRule="auto"/>
        <w:rPr>
          <w:b/>
          <w:sz w:val="28"/>
        </w:rPr>
      </w:pPr>
    </w:p>
    <w:p w14:paraId="0C1D258A" w14:textId="5535CE90" w:rsidR="00764BE6" w:rsidRDefault="00764BE6" w:rsidP="005A01B7">
      <w:pPr>
        <w:spacing w:after="120" w:line="240" w:lineRule="auto"/>
        <w:rPr>
          <w:b/>
          <w:sz w:val="28"/>
        </w:rPr>
      </w:pPr>
    </w:p>
    <w:p w14:paraId="0C424355" w14:textId="651DBF43" w:rsidR="00764BE6" w:rsidRDefault="00764BE6" w:rsidP="005A01B7">
      <w:pPr>
        <w:spacing w:after="120" w:line="240" w:lineRule="auto"/>
        <w:rPr>
          <w:b/>
          <w:sz w:val="28"/>
        </w:rPr>
      </w:pPr>
    </w:p>
    <w:p w14:paraId="413F4DB3" w14:textId="34949622" w:rsidR="00764BE6" w:rsidRDefault="00764BE6" w:rsidP="005A01B7">
      <w:pPr>
        <w:spacing w:after="120" w:line="240" w:lineRule="auto"/>
        <w:rPr>
          <w:b/>
          <w:sz w:val="28"/>
        </w:rPr>
      </w:pPr>
    </w:p>
    <w:p w14:paraId="4350627B" w14:textId="7DDED123" w:rsidR="00764BE6" w:rsidRDefault="00764BE6" w:rsidP="005A01B7">
      <w:pPr>
        <w:spacing w:after="120" w:line="240" w:lineRule="auto"/>
        <w:rPr>
          <w:b/>
          <w:sz w:val="28"/>
        </w:rPr>
      </w:pPr>
    </w:p>
    <w:p w14:paraId="680A1E5A" w14:textId="673B5F99" w:rsidR="00764BE6" w:rsidRDefault="00764BE6" w:rsidP="005A01B7">
      <w:pPr>
        <w:spacing w:after="120" w:line="240" w:lineRule="auto"/>
        <w:rPr>
          <w:b/>
          <w:sz w:val="28"/>
        </w:rPr>
      </w:pPr>
    </w:p>
    <w:p w14:paraId="6BCF68EA" w14:textId="0EF8CE46" w:rsidR="00764BE6" w:rsidRDefault="00764BE6" w:rsidP="005A01B7">
      <w:pPr>
        <w:spacing w:after="120" w:line="240" w:lineRule="auto"/>
        <w:rPr>
          <w:b/>
          <w:sz w:val="28"/>
        </w:rPr>
      </w:pPr>
    </w:p>
    <w:p w14:paraId="7A0E113E" w14:textId="08B8721C" w:rsidR="00764BE6" w:rsidRDefault="00764BE6" w:rsidP="005A01B7">
      <w:pPr>
        <w:spacing w:after="120" w:line="240" w:lineRule="auto"/>
        <w:rPr>
          <w:b/>
          <w:sz w:val="28"/>
        </w:rPr>
      </w:pPr>
    </w:p>
    <w:p w14:paraId="26FE55F2" w14:textId="0633DA1E" w:rsidR="00764BE6" w:rsidRDefault="00764BE6" w:rsidP="005A01B7">
      <w:pPr>
        <w:spacing w:after="120" w:line="240" w:lineRule="auto"/>
        <w:rPr>
          <w:b/>
          <w:sz w:val="28"/>
        </w:rPr>
      </w:pPr>
    </w:p>
    <w:p w14:paraId="0E436307" w14:textId="4A3ACAE0" w:rsidR="00764BE6" w:rsidRDefault="00764BE6" w:rsidP="005A01B7">
      <w:pPr>
        <w:spacing w:after="120" w:line="240" w:lineRule="auto"/>
        <w:rPr>
          <w:b/>
          <w:sz w:val="28"/>
        </w:rPr>
      </w:pPr>
    </w:p>
    <w:p w14:paraId="5915E659" w14:textId="77777777" w:rsidR="00B84ADE" w:rsidRDefault="00B84ADE" w:rsidP="005A01B7">
      <w:pPr>
        <w:spacing w:after="120" w:line="240" w:lineRule="auto"/>
        <w:rPr>
          <w:b/>
          <w:sz w:val="28"/>
        </w:rPr>
        <w:sectPr w:rsidR="00B84ADE" w:rsidSect="00517401">
          <w:pgSz w:w="12240" w:h="15840"/>
          <w:pgMar w:top="1440" w:right="1440" w:bottom="1440" w:left="1440" w:header="720" w:footer="720" w:gutter="0"/>
          <w:pgNumType w:start="1"/>
          <w:cols w:space="720"/>
          <w:docGrid w:linePitch="360"/>
        </w:sectPr>
      </w:pPr>
    </w:p>
    <w:p w14:paraId="1E3AE480" w14:textId="64E15FA7" w:rsidR="0076247A" w:rsidRDefault="0076247A" w:rsidP="0076247A">
      <w:pPr>
        <w:spacing w:after="120" w:line="240" w:lineRule="auto"/>
        <w:rPr>
          <w:b/>
          <w:sz w:val="28"/>
        </w:rPr>
      </w:pPr>
      <w:r>
        <w:rPr>
          <w:b/>
          <w:sz w:val="28"/>
        </w:rPr>
        <w:lastRenderedPageBreak/>
        <w:t>Annex 3b: Annexure B – Choice on Termination of Pregnancy Act, 1996 (Act No. 92 of 1996)</w:t>
      </w:r>
    </w:p>
    <w:p w14:paraId="4C85CA37" w14:textId="212D11F0" w:rsidR="00764BE6" w:rsidRDefault="00764BE6" w:rsidP="005A01B7">
      <w:pPr>
        <w:spacing w:after="120" w:line="240" w:lineRule="auto"/>
        <w:rPr>
          <w:b/>
          <w:sz w:val="28"/>
        </w:rPr>
      </w:pPr>
    </w:p>
    <w:p w14:paraId="276CBC6F" w14:textId="1185AD91" w:rsidR="00764BE6" w:rsidRDefault="00764BE6" w:rsidP="005A01B7">
      <w:pPr>
        <w:spacing w:after="120" w:line="240" w:lineRule="auto"/>
        <w:rPr>
          <w:b/>
          <w:sz w:val="28"/>
        </w:rPr>
      </w:pPr>
    </w:p>
    <w:p w14:paraId="506052D7" w14:textId="1A56E0AB" w:rsidR="00764BE6" w:rsidRDefault="00764BE6" w:rsidP="005A01B7">
      <w:pPr>
        <w:spacing w:after="120" w:line="240" w:lineRule="auto"/>
        <w:rPr>
          <w:b/>
          <w:sz w:val="28"/>
        </w:rPr>
      </w:pPr>
    </w:p>
    <w:p w14:paraId="11F5BC71" w14:textId="1B4AF6FF" w:rsidR="00764BE6" w:rsidRDefault="00764BE6" w:rsidP="005A01B7">
      <w:pPr>
        <w:spacing w:after="120" w:line="240" w:lineRule="auto"/>
        <w:rPr>
          <w:b/>
          <w:sz w:val="28"/>
        </w:rPr>
      </w:pPr>
    </w:p>
    <w:p w14:paraId="25F2541A" w14:textId="5C913D83" w:rsidR="00764BE6" w:rsidRDefault="00764BE6" w:rsidP="005A01B7">
      <w:pPr>
        <w:spacing w:after="120" w:line="240" w:lineRule="auto"/>
        <w:rPr>
          <w:b/>
          <w:sz w:val="28"/>
        </w:rPr>
      </w:pPr>
    </w:p>
    <w:p w14:paraId="4AF1C326" w14:textId="37D86C9C" w:rsidR="00764BE6" w:rsidRDefault="00764BE6" w:rsidP="005A01B7">
      <w:pPr>
        <w:spacing w:after="120" w:line="240" w:lineRule="auto"/>
        <w:rPr>
          <w:b/>
          <w:sz w:val="28"/>
        </w:rPr>
      </w:pPr>
    </w:p>
    <w:p w14:paraId="04CB746B" w14:textId="0C3DD4E3" w:rsidR="00764BE6" w:rsidRDefault="00764BE6" w:rsidP="005A01B7">
      <w:pPr>
        <w:spacing w:after="120" w:line="240" w:lineRule="auto"/>
        <w:rPr>
          <w:b/>
          <w:sz w:val="28"/>
        </w:rPr>
      </w:pPr>
    </w:p>
    <w:p w14:paraId="3B1CBBCB" w14:textId="585D1E7B" w:rsidR="00764BE6" w:rsidRDefault="00764BE6" w:rsidP="005A01B7">
      <w:pPr>
        <w:spacing w:after="120" w:line="240" w:lineRule="auto"/>
        <w:rPr>
          <w:b/>
          <w:sz w:val="28"/>
        </w:rPr>
      </w:pPr>
    </w:p>
    <w:p w14:paraId="07673652" w14:textId="1D9B8EE7" w:rsidR="00764BE6" w:rsidRDefault="00764BE6" w:rsidP="005A01B7">
      <w:pPr>
        <w:spacing w:after="120" w:line="240" w:lineRule="auto"/>
        <w:rPr>
          <w:b/>
          <w:sz w:val="28"/>
        </w:rPr>
      </w:pPr>
    </w:p>
    <w:p w14:paraId="73C606B6" w14:textId="0EFC694F" w:rsidR="00764BE6" w:rsidRDefault="00764BE6" w:rsidP="005A01B7">
      <w:pPr>
        <w:spacing w:after="120" w:line="240" w:lineRule="auto"/>
        <w:rPr>
          <w:b/>
          <w:sz w:val="28"/>
        </w:rPr>
      </w:pPr>
    </w:p>
    <w:p w14:paraId="3C7CE894" w14:textId="57C1556F" w:rsidR="00764BE6" w:rsidRDefault="00764BE6" w:rsidP="00764BE6">
      <w:pPr>
        <w:spacing w:after="120" w:line="240" w:lineRule="auto"/>
        <w:rPr>
          <w:b/>
          <w:sz w:val="28"/>
        </w:rPr>
      </w:pPr>
    </w:p>
    <w:p w14:paraId="75EBAE5E" w14:textId="77777777" w:rsidR="00764BE6" w:rsidRDefault="00764BE6" w:rsidP="00764BE6">
      <w:pPr>
        <w:spacing w:after="120" w:line="240" w:lineRule="auto"/>
        <w:rPr>
          <w:b/>
          <w:sz w:val="28"/>
        </w:rPr>
      </w:pPr>
    </w:p>
    <w:p w14:paraId="5F6699A6" w14:textId="77777777" w:rsidR="00764BE6" w:rsidRDefault="00764BE6" w:rsidP="00764BE6">
      <w:pPr>
        <w:spacing w:after="120" w:line="240" w:lineRule="auto"/>
        <w:rPr>
          <w:b/>
          <w:sz w:val="28"/>
        </w:rPr>
      </w:pPr>
    </w:p>
    <w:p w14:paraId="5E731549" w14:textId="77777777" w:rsidR="00764BE6" w:rsidRDefault="00764BE6" w:rsidP="00764BE6">
      <w:pPr>
        <w:spacing w:after="120" w:line="240" w:lineRule="auto"/>
        <w:rPr>
          <w:b/>
          <w:sz w:val="28"/>
        </w:rPr>
      </w:pPr>
    </w:p>
    <w:p w14:paraId="4640E6F4" w14:textId="77777777" w:rsidR="00764BE6" w:rsidRDefault="00764BE6" w:rsidP="00764BE6">
      <w:pPr>
        <w:spacing w:after="120" w:line="240" w:lineRule="auto"/>
        <w:rPr>
          <w:b/>
          <w:sz w:val="28"/>
        </w:rPr>
      </w:pPr>
    </w:p>
    <w:p w14:paraId="7F15A044" w14:textId="77777777" w:rsidR="00764BE6" w:rsidRDefault="00764BE6" w:rsidP="00764BE6">
      <w:pPr>
        <w:spacing w:after="120" w:line="240" w:lineRule="auto"/>
        <w:rPr>
          <w:b/>
          <w:sz w:val="28"/>
        </w:rPr>
      </w:pPr>
    </w:p>
    <w:p w14:paraId="00D41D1B" w14:textId="77777777" w:rsidR="00764BE6" w:rsidRDefault="00764BE6" w:rsidP="00764BE6">
      <w:pPr>
        <w:spacing w:after="120" w:line="240" w:lineRule="auto"/>
        <w:rPr>
          <w:b/>
          <w:sz w:val="28"/>
        </w:rPr>
      </w:pPr>
    </w:p>
    <w:p w14:paraId="50BCDBB5" w14:textId="77777777" w:rsidR="00764BE6" w:rsidRDefault="00764BE6" w:rsidP="00764BE6">
      <w:pPr>
        <w:spacing w:after="120" w:line="240" w:lineRule="auto"/>
        <w:rPr>
          <w:b/>
          <w:sz w:val="28"/>
        </w:rPr>
      </w:pPr>
    </w:p>
    <w:p w14:paraId="200E8FF4" w14:textId="77777777" w:rsidR="00764BE6" w:rsidRDefault="00764BE6" w:rsidP="00764BE6">
      <w:pPr>
        <w:spacing w:after="120" w:line="240" w:lineRule="auto"/>
        <w:rPr>
          <w:b/>
          <w:sz w:val="28"/>
        </w:rPr>
      </w:pPr>
    </w:p>
    <w:p w14:paraId="67979100" w14:textId="77777777" w:rsidR="00764BE6" w:rsidRDefault="00764BE6" w:rsidP="00764BE6">
      <w:pPr>
        <w:spacing w:after="120" w:line="240" w:lineRule="auto"/>
        <w:rPr>
          <w:b/>
          <w:sz w:val="28"/>
        </w:rPr>
      </w:pPr>
    </w:p>
    <w:p w14:paraId="44FB96AB" w14:textId="77777777" w:rsidR="00764BE6" w:rsidRDefault="00764BE6" w:rsidP="00764BE6">
      <w:pPr>
        <w:spacing w:after="120" w:line="240" w:lineRule="auto"/>
        <w:rPr>
          <w:b/>
          <w:sz w:val="28"/>
        </w:rPr>
      </w:pPr>
    </w:p>
    <w:p w14:paraId="023709B6" w14:textId="77777777" w:rsidR="00764BE6" w:rsidRDefault="00764BE6" w:rsidP="00764BE6">
      <w:pPr>
        <w:spacing w:after="120" w:line="240" w:lineRule="auto"/>
        <w:rPr>
          <w:b/>
          <w:sz w:val="28"/>
        </w:rPr>
      </w:pPr>
    </w:p>
    <w:p w14:paraId="7E3DAD17" w14:textId="77777777" w:rsidR="00764BE6" w:rsidRDefault="00764BE6" w:rsidP="00764BE6">
      <w:pPr>
        <w:spacing w:after="120" w:line="240" w:lineRule="auto"/>
        <w:rPr>
          <w:b/>
          <w:sz w:val="28"/>
        </w:rPr>
      </w:pPr>
    </w:p>
    <w:p w14:paraId="1C9B4639" w14:textId="77777777" w:rsidR="00764BE6" w:rsidRDefault="00764BE6" w:rsidP="00764BE6">
      <w:pPr>
        <w:spacing w:after="120" w:line="240" w:lineRule="auto"/>
        <w:rPr>
          <w:b/>
          <w:sz w:val="28"/>
        </w:rPr>
      </w:pPr>
    </w:p>
    <w:p w14:paraId="6E351A9C" w14:textId="77777777" w:rsidR="00764BE6" w:rsidRDefault="00764BE6" w:rsidP="00764BE6">
      <w:pPr>
        <w:spacing w:after="120" w:line="240" w:lineRule="auto"/>
        <w:rPr>
          <w:b/>
          <w:sz w:val="28"/>
        </w:rPr>
      </w:pPr>
    </w:p>
    <w:p w14:paraId="7F4C4FE9" w14:textId="77777777" w:rsidR="00764BE6" w:rsidRDefault="00764BE6" w:rsidP="00764BE6">
      <w:pPr>
        <w:spacing w:after="120" w:line="240" w:lineRule="auto"/>
        <w:rPr>
          <w:b/>
          <w:sz w:val="28"/>
        </w:rPr>
      </w:pPr>
    </w:p>
    <w:p w14:paraId="5F46F2A1" w14:textId="260663F7" w:rsidR="0076247A" w:rsidRDefault="0076247A" w:rsidP="0076247A">
      <w:pPr>
        <w:spacing w:after="120" w:line="240" w:lineRule="auto"/>
        <w:rPr>
          <w:b/>
          <w:sz w:val="28"/>
        </w:rPr>
      </w:pPr>
      <w:r>
        <w:rPr>
          <w:b/>
          <w:sz w:val="28"/>
        </w:rPr>
        <w:lastRenderedPageBreak/>
        <w:t>Annex 3c</w:t>
      </w:r>
      <w:r w:rsidR="0063355B">
        <w:rPr>
          <w:b/>
          <w:sz w:val="28"/>
        </w:rPr>
        <w:t>: Annexure C</w:t>
      </w:r>
      <w:r>
        <w:rPr>
          <w:b/>
          <w:sz w:val="28"/>
        </w:rPr>
        <w:t xml:space="preserve"> – Choice on Termination of Pregnancy Act, 1996 (Act No. 92 of 1996) Choice on Termination of Pregnancy Monthly Summary Sheet </w:t>
      </w:r>
    </w:p>
    <w:p w14:paraId="504C99A6" w14:textId="77777777" w:rsidR="00764BE6" w:rsidRDefault="00764BE6" w:rsidP="00764BE6">
      <w:pPr>
        <w:spacing w:after="120" w:line="240" w:lineRule="auto"/>
        <w:rPr>
          <w:b/>
          <w:sz w:val="28"/>
        </w:rPr>
      </w:pPr>
    </w:p>
    <w:p w14:paraId="5128B3DD" w14:textId="77777777" w:rsidR="00764BE6" w:rsidRDefault="00764BE6" w:rsidP="00764BE6">
      <w:pPr>
        <w:spacing w:after="120" w:line="240" w:lineRule="auto"/>
        <w:rPr>
          <w:b/>
          <w:sz w:val="28"/>
        </w:rPr>
      </w:pPr>
    </w:p>
    <w:p w14:paraId="20489972" w14:textId="77777777" w:rsidR="00764BE6" w:rsidRDefault="00764BE6" w:rsidP="00764BE6">
      <w:pPr>
        <w:spacing w:after="120" w:line="240" w:lineRule="auto"/>
        <w:rPr>
          <w:b/>
          <w:sz w:val="28"/>
        </w:rPr>
      </w:pPr>
    </w:p>
    <w:p w14:paraId="7B57D1F8" w14:textId="77777777" w:rsidR="00764BE6" w:rsidRDefault="00764BE6" w:rsidP="00764BE6">
      <w:pPr>
        <w:spacing w:after="120" w:line="240" w:lineRule="auto"/>
        <w:rPr>
          <w:b/>
          <w:sz w:val="28"/>
        </w:rPr>
      </w:pPr>
    </w:p>
    <w:p w14:paraId="09777FAD" w14:textId="77777777" w:rsidR="00764BE6" w:rsidRDefault="00764BE6" w:rsidP="00764BE6">
      <w:pPr>
        <w:spacing w:after="120" w:line="240" w:lineRule="auto"/>
        <w:rPr>
          <w:b/>
          <w:sz w:val="28"/>
        </w:rPr>
      </w:pPr>
    </w:p>
    <w:p w14:paraId="3C7149B8" w14:textId="1A73156A" w:rsidR="00764BE6" w:rsidRPr="00764BE6" w:rsidRDefault="00764BE6" w:rsidP="00764BE6">
      <w:pPr>
        <w:spacing w:after="120" w:line="240" w:lineRule="auto"/>
        <w:rPr>
          <w:b/>
          <w:sz w:val="28"/>
        </w:rPr>
      </w:pPr>
    </w:p>
    <w:p w14:paraId="1B2D3F50" w14:textId="0A56ADD2" w:rsidR="00764BE6" w:rsidRPr="00764BE6" w:rsidRDefault="00764BE6" w:rsidP="005A01B7">
      <w:pPr>
        <w:spacing w:after="120" w:line="240" w:lineRule="auto"/>
        <w:rPr>
          <w:b/>
          <w:sz w:val="28"/>
        </w:rPr>
      </w:pPr>
    </w:p>
    <w:sectPr w:rsidR="00764BE6" w:rsidRPr="00764BE6" w:rsidSect="00B84ADE">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33E3E" w16cid:durableId="2041D936"/>
  <w16cid:commentId w16cid:paraId="1571118D" w16cid:durableId="207FF5A4"/>
  <w16cid:commentId w16cid:paraId="626807C4" w16cid:durableId="207EBF17"/>
  <w16cid:commentId w16cid:paraId="0A6FCE75" w16cid:durableId="207EC4B2"/>
  <w16cid:commentId w16cid:paraId="29CA53C7" w16cid:durableId="207EC6B4"/>
  <w16cid:commentId w16cid:paraId="1365673F" w16cid:durableId="207FFD9C"/>
  <w16cid:commentId w16cid:paraId="54A9287F" w16cid:durableId="207FFAB6"/>
  <w16cid:commentId w16cid:paraId="0E92CC8E" w16cid:durableId="207FFAC4"/>
  <w16cid:commentId w16cid:paraId="74C04BBC" w16cid:durableId="207FFAD7"/>
  <w16cid:commentId w16cid:paraId="116CBF22" w16cid:durableId="207D8572"/>
  <w16cid:commentId w16cid:paraId="6696D534" w16cid:durableId="207C8243"/>
  <w16cid:commentId w16cid:paraId="23113A0B" w16cid:durableId="207D8745"/>
  <w16cid:commentId w16cid:paraId="281CC2F1" w16cid:durableId="207C82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2EA33" w14:textId="77777777" w:rsidR="00D620DE" w:rsidRDefault="00D620DE" w:rsidP="00893380">
      <w:pPr>
        <w:spacing w:line="240" w:lineRule="auto"/>
      </w:pPr>
      <w:r>
        <w:separator/>
      </w:r>
    </w:p>
  </w:endnote>
  <w:endnote w:type="continuationSeparator" w:id="0">
    <w:p w14:paraId="36ACC4FE" w14:textId="77777777" w:rsidR="00D620DE" w:rsidRDefault="00D620DE" w:rsidP="00893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dobe Text Pro">
    <w:altName w:val="Cambria"/>
    <w:charset w:val="00"/>
    <w:family w:val="roman"/>
    <w:pitch w:val="default"/>
    <w:sig w:usb0="00000003" w:usb1="00000000" w:usb2="00000000" w:usb3="00000000" w:csb0="00000001" w:csb1="00000000"/>
  </w:font>
  <w:font w:name="Omnes">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43345"/>
      <w:docPartObj>
        <w:docPartGallery w:val="Page Numbers (Bottom of Page)"/>
        <w:docPartUnique/>
      </w:docPartObj>
    </w:sdtPr>
    <w:sdtContent>
      <w:p w14:paraId="209AAD47" w14:textId="485BB097" w:rsidR="003351E3" w:rsidRDefault="003351E3" w:rsidP="00144C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4702041"/>
      <w:docPartObj>
        <w:docPartGallery w:val="Page Numbers (Bottom of Page)"/>
        <w:docPartUnique/>
      </w:docPartObj>
    </w:sdtPr>
    <w:sdtContent>
      <w:p w14:paraId="0E72F21C" w14:textId="3716AF1F" w:rsidR="003351E3" w:rsidRDefault="003351E3"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97379663"/>
      <w:docPartObj>
        <w:docPartGallery w:val="Page Numbers (Bottom of Page)"/>
        <w:docPartUnique/>
      </w:docPartObj>
    </w:sdtPr>
    <w:sdtContent>
      <w:p w14:paraId="4365C642" w14:textId="1C3F8F55" w:rsidR="003351E3" w:rsidRDefault="003351E3"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2930604"/>
      <w:docPartObj>
        <w:docPartGallery w:val="Page Numbers (Bottom of Page)"/>
        <w:docPartUnique/>
      </w:docPartObj>
    </w:sdtPr>
    <w:sdtContent>
      <w:p w14:paraId="1FC33708" w14:textId="195550F5" w:rsidR="003351E3" w:rsidRDefault="003351E3"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94330108"/>
      <w:docPartObj>
        <w:docPartGallery w:val="Page Numbers (Bottom of Page)"/>
        <w:docPartUnique/>
      </w:docPartObj>
    </w:sdtPr>
    <w:sdtContent>
      <w:p w14:paraId="6C6FA6DE" w14:textId="409F9128" w:rsidR="003351E3" w:rsidRDefault="003351E3"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75547001"/>
      <w:docPartObj>
        <w:docPartGallery w:val="Page Numbers (Bottom of Page)"/>
        <w:docPartUnique/>
      </w:docPartObj>
    </w:sdtPr>
    <w:sdtContent>
      <w:p w14:paraId="2EB28329" w14:textId="700893FD" w:rsidR="003351E3" w:rsidRDefault="003351E3"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89215912"/>
      <w:docPartObj>
        <w:docPartGallery w:val="Page Numbers (Bottom of Page)"/>
        <w:docPartUnique/>
      </w:docPartObj>
    </w:sdtPr>
    <w:sdtContent>
      <w:p w14:paraId="274C5ACF" w14:textId="5C745EB1" w:rsidR="003351E3" w:rsidRDefault="003351E3"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1273298"/>
      <w:docPartObj>
        <w:docPartGallery w:val="Page Numbers (Bottom of Page)"/>
        <w:docPartUnique/>
      </w:docPartObj>
    </w:sdtPr>
    <w:sdtContent>
      <w:p w14:paraId="30C16897" w14:textId="6045EC53" w:rsidR="003351E3" w:rsidRDefault="003351E3" w:rsidP="006970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781CF" w14:textId="77777777" w:rsidR="003351E3" w:rsidRDefault="003351E3" w:rsidP="00697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5F2F" w14:textId="71EBA2C3" w:rsidR="003351E3" w:rsidRDefault="00335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984288"/>
      <w:docPartObj>
        <w:docPartGallery w:val="Page Numbers (Bottom of Page)"/>
        <w:docPartUnique/>
      </w:docPartObj>
    </w:sdtPr>
    <w:sdtContent>
      <w:p w14:paraId="79637372" w14:textId="47A68A3C" w:rsidR="003351E3" w:rsidRDefault="003351E3" w:rsidP="00144C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282B">
          <w:rPr>
            <w:rStyle w:val="PageNumber"/>
            <w:noProof/>
          </w:rPr>
          <w:t>iii</w:t>
        </w:r>
        <w:r>
          <w:rPr>
            <w:rStyle w:val="PageNumber"/>
          </w:rPr>
          <w:fldChar w:fldCharType="end"/>
        </w:r>
      </w:p>
    </w:sdtContent>
  </w:sdt>
  <w:p w14:paraId="41794365" w14:textId="77777777" w:rsidR="003351E3" w:rsidRDefault="003351E3" w:rsidP="006970B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rPr>
      <w:id w:val="-2116971863"/>
      <w:docPartObj>
        <w:docPartGallery w:val="Page Numbers (Bottom of Page)"/>
        <w:docPartUnique/>
      </w:docPartObj>
    </w:sdtPr>
    <w:sdtEndPr>
      <w:rPr>
        <w:rStyle w:val="PageNumber"/>
        <w:sz w:val="16"/>
      </w:rPr>
    </w:sdtEndPr>
    <w:sdtContent>
      <w:p w14:paraId="23727A48" w14:textId="406EDE23" w:rsidR="003351E3" w:rsidRPr="0006611B" w:rsidRDefault="003351E3" w:rsidP="00144C0C">
        <w:pPr>
          <w:pStyle w:val="Footer"/>
          <w:framePr w:wrap="none" w:vAnchor="text" w:hAnchor="margin" w:xAlign="right" w:y="1"/>
          <w:rPr>
            <w:rStyle w:val="PageNumber"/>
            <w:sz w:val="16"/>
          </w:rPr>
        </w:pPr>
        <w:r w:rsidRPr="0006611B">
          <w:rPr>
            <w:rStyle w:val="PageNumber"/>
            <w:sz w:val="20"/>
          </w:rPr>
          <w:fldChar w:fldCharType="begin"/>
        </w:r>
        <w:r w:rsidRPr="0006611B">
          <w:rPr>
            <w:rStyle w:val="PageNumber"/>
            <w:sz w:val="20"/>
          </w:rPr>
          <w:instrText xml:space="preserve"> PAGE </w:instrText>
        </w:r>
        <w:r w:rsidRPr="0006611B">
          <w:rPr>
            <w:rStyle w:val="PageNumber"/>
            <w:sz w:val="20"/>
          </w:rPr>
          <w:fldChar w:fldCharType="separate"/>
        </w:r>
        <w:r w:rsidR="0034282B">
          <w:rPr>
            <w:rStyle w:val="PageNumber"/>
            <w:noProof/>
            <w:sz w:val="20"/>
          </w:rPr>
          <w:t>12</w:t>
        </w:r>
        <w:r w:rsidRPr="0006611B">
          <w:rPr>
            <w:rStyle w:val="PageNumber"/>
            <w:sz w:val="20"/>
          </w:rPr>
          <w:fldChar w:fldCharType="end"/>
        </w:r>
      </w:p>
    </w:sdtContent>
  </w:sdt>
  <w:p w14:paraId="3FD29D48" w14:textId="77777777" w:rsidR="003351E3" w:rsidRDefault="003351E3" w:rsidP="00697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D65D5" w14:textId="77777777" w:rsidR="00D620DE" w:rsidRDefault="00D620DE" w:rsidP="00893380">
      <w:pPr>
        <w:spacing w:line="240" w:lineRule="auto"/>
      </w:pPr>
      <w:r>
        <w:separator/>
      </w:r>
    </w:p>
  </w:footnote>
  <w:footnote w:type="continuationSeparator" w:id="0">
    <w:p w14:paraId="3366E75C" w14:textId="77777777" w:rsidR="00D620DE" w:rsidRDefault="00D620DE" w:rsidP="008933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8243" w14:textId="1E3B92D1" w:rsidR="003351E3" w:rsidRPr="007471AA" w:rsidRDefault="003351E3" w:rsidP="007F1A96">
    <w:pPr>
      <w:spacing w:line="0" w:lineRule="atLeast"/>
      <w:rPr>
        <w:rFonts w:ascii="Calibri" w:hAnsi="Calibri" w:cs="Calibr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F29B4"/>
    <w:multiLevelType w:val="hybridMultilevel"/>
    <w:tmpl w:val="20640332"/>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36F6"/>
    <w:multiLevelType w:val="hybridMultilevel"/>
    <w:tmpl w:val="3AE84C6C"/>
    <w:lvl w:ilvl="0" w:tplc="074C6E0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1FA7"/>
    <w:multiLevelType w:val="hybridMultilevel"/>
    <w:tmpl w:val="A5CE7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7C31"/>
    <w:multiLevelType w:val="hybridMultilevel"/>
    <w:tmpl w:val="0E60D60C"/>
    <w:lvl w:ilvl="0" w:tplc="074C6E0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645D3"/>
    <w:multiLevelType w:val="hybridMultilevel"/>
    <w:tmpl w:val="CA141C50"/>
    <w:lvl w:ilvl="0" w:tplc="DE48140A">
      <w:start w:val="1"/>
      <w:numFmt w:val="bullet"/>
      <w:lvlText w:val=""/>
      <w:lvlJc w:val="left"/>
      <w:pPr>
        <w:ind w:left="360" w:hanging="360"/>
      </w:pPr>
      <w:rPr>
        <w:rFonts w:ascii="Symbol" w:hAnsi="Symbol"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D4A38"/>
    <w:multiLevelType w:val="hybridMultilevel"/>
    <w:tmpl w:val="3BFE044E"/>
    <w:lvl w:ilvl="0" w:tplc="C2C0F3B8">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3718" w:hanging="360"/>
      </w:pPr>
      <w:rPr>
        <w:rFonts w:ascii="Courier New" w:hAnsi="Courier New" w:cs="Courier New" w:hint="default"/>
      </w:rPr>
    </w:lvl>
    <w:lvl w:ilvl="2" w:tplc="1C090005">
      <w:start w:val="1"/>
      <w:numFmt w:val="bullet"/>
      <w:lvlText w:val=""/>
      <w:lvlJc w:val="left"/>
      <w:pPr>
        <w:ind w:left="4438" w:hanging="360"/>
      </w:pPr>
      <w:rPr>
        <w:rFonts w:ascii="Wingdings" w:hAnsi="Wingdings" w:hint="default"/>
      </w:rPr>
    </w:lvl>
    <w:lvl w:ilvl="3" w:tplc="1C090001" w:tentative="1">
      <w:start w:val="1"/>
      <w:numFmt w:val="bullet"/>
      <w:lvlText w:val=""/>
      <w:lvlJc w:val="left"/>
      <w:pPr>
        <w:ind w:left="5158" w:hanging="360"/>
      </w:pPr>
      <w:rPr>
        <w:rFonts w:ascii="Symbol" w:hAnsi="Symbol" w:hint="default"/>
      </w:rPr>
    </w:lvl>
    <w:lvl w:ilvl="4" w:tplc="1C090003" w:tentative="1">
      <w:start w:val="1"/>
      <w:numFmt w:val="bullet"/>
      <w:lvlText w:val="o"/>
      <w:lvlJc w:val="left"/>
      <w:pPr>
        <w:ind w:left="5878" w:hanging="360"/>
      </w:pPr>
      <w:rPr>
        <w:rFonts w:ascii="Courier New" w:hAnsi="Courier New" w:cs="Courier New" w:hint="default"/>
      </w:rPr>
    </w:lvl>
    <w:lvl w:ilvl="5" w:tplc="1C090005" w:tentative="1">
      <w:start w:val="1"/>
      <w:numFmt w:val="bullet"/>
      <w:lvlText w:val=""/>
      <w:lvlJc w:val="left"/>
      <w:pPr>
        <w:ind w:left="6598" w:hanging="360"/>
      </w:pPr>
      <w:rPr>
        <w:rFonts w:ascii="Wingdings" w:hAnsi="Wingdings" w:hint="default"/>
      </w:rPr>
    </w:lvl>
    <w:lvl w:ilvl="6" w:tplc="1C090001" w:tentative="1">
      <w:start w:val="1"/>
      <w:numFmt w:val="bullet"/>
      <w:lvlText w:val=""/>
      <w:lvlJc w:val="left"/>
      <w:pPr>
        <w:ind w:left="7318" w:hanging="360"/>
      </w:pPr>
      <w:rPr>
        <w:rFonts w:ascii="Symbol" w:hAnsi="Symbol" w:hint="default"/>
      </w:rPr>
    </w:lvl>
    <w:lvl w:ilvl="7" w:tplc="1C090003" w:tentative="1">
      <w:start w:val="1"/>
      <w:numFmt w:val="bullet"/>
      <w:lvlText w:val="o"/>
      <w:lvlJc w:val="left"/>
      <w:pPr>
        <w:ind w:left="8038" w:hanging="360"/>
      </w:pPr>
      <w:rPr>
        <w:rFonts w:ascii="Courier New" w:hAnsi="Courier New" w:cs="Courier New" w:hint="default"/>
      </w:rPr>
    </w:lvl>
    <w:lvl w:ilvl="8" w:tplc="1C090005" w:tentative="1">
      <w:start w:val="1"/>
      <w:numFmt w:val="bullet"/>
      <w:lvlText w:val=""/>
      <w:lvlJc w:val="left"/>
      <w:pPr>
        <w:ind w:left="8758" w:hanging="360"/>
      </w:pPr>
      <w:rPr>
        <w:rFonts w:ascii="Wingdings" w:hAnsi="Wingdings" w:hint="default"/>
      </w:rPr>
    </w:lvl>
  </w:abstractNum>
  <w:abstractNum w:abstractNumId="7" w15:restartNumberingAfterBreak="0">
    <w:nsid w:val="174B5731"/>
    <w:multiLevelType w:val="hybridMultilevel"/>
    <w:tmpl w:val="5F129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5A68FC"/>
    <w:multiLevelType w:val="hybridMultilevel"/>
    <w:tmpl w:val="8CF63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9C316B"/>
    <w:multiLevelType w:val="hybridMultilevel"/>
    <w:tmpl w:val="49F6C336"/>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02608"/>
    <w:multiLevelType w:val="hybridMultilevel"/>
    <w:tmpl w:val="89F89536"/>
    <w:lvl w:ilvl="0" w:tplc="DE48140A">
      <w:start w:val="1"/>
      <w:numFmt w:val="bullet"/>
      <w:lvlText w:val=""/>
      <w:lvlJc w:val="left"/>
      <w:pPr>
        <w:ind w:left="360" w:hanging="360"/>
      </w:pPr>
      <w:rPr>
        <w:rFonts w:ascii="Symbol" w:hAnsi="Symbol" w:hint="default"/>
        <w:w w:val="99"/>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A16E68"/>
    <w:multiLevelType w:val="hybridMultilevel"/>
    <w:tmpl w:val="A3D01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096928"/>
    <w:multiLevelType w:val="multilevel"/>
    <w:tmpl w:val="4B4E62C6"/>
    <w:lvl w:ilvl="0">
      <w:start w:val="1"/>
      <w:numFmt w:val="decimal"/>
      <w:pStyle w:val="Heading1"/>
      <w:suff w:val="space"/>
      <w:lvlText w:val="Section %1."/>
      <w:lvlJc w:val="left"/>
      <w:pPr>
        <w:ind w:left="0" w:firstLine="0"/>
      </w:pPr>
      <w:rPr>
        <w:rFonts w:asciiTheme="minorHAnsi" w:hAnsiTheme="minorHAnsi" w:hint="default"/>
        <w:b/>
        <w:i w:val="0"/>
        <w:caps w:val="0"/>
        <w:vanish w:val="0"/>
        <w:color w:val="009051"/>
        <w:sz w:val="28"/>
      </w:rPr>
    </w:lvl>
    <w:lvl w:ilvl="1">
      <w:start w:val="1"/>
      <w:numFmt w:val="decimal"/>
      <w:pStyle w:val="Heading2"/>
      <w:suff w:val="space"/>
      <w:lvlText w:val="%1.%2"/>
      <w:lvlJc w:val="left"/>
      <w:pPr>
        <w:ind w:left="0" w:firstLine="0"/>
      </w:pPr>
      <w:rPr>
        <w:rFonts w:asciiTheme="minorHAnsi" w:hAnsiTheme="minorHAnsi" w:hint="default"/>
        <w:b/>
        <w:i w:val="0"/>
        <w:color w:val="009051"/>
        <w:sz w:val="24"/>
      </w:rPr>
    </w:lvl>
    <w:lvl w:ilvl="2">
      <w:start w:val="1"/>
      <w:numFmt w:val="none"/>
      <w:pStyle w:val="Heading3"/>
      <w:isLgl/>
      <w:suff w:val="space"/>
      <w:lvlText w:val=""/>
      <w:lvlJc w:val="left"/>
      <w:pPr>
        <w:ind w:left="0" w:firstLine="360"/>
      </w:pPr>
      <w:rPr>
        <w:rFonts w:asciiTheme="minorHAnsi" w:hAnsiTheme="minorHAnsi" w:hint="default"/>
        <w:b/>
        <w:i w:val="0"/>
        <w:color w:val="009051"/>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E5E1B24"/>
    <w:multiLevelType w:val="hybridMultilevel"/>
    <w:tmpl w:val="D6344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D65470"/>
    <w:multiLevelType w:val="hybridMultilevel"/>
    <w:tmpl w:val="0546BF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985B71"/>
    <w:multiLevelType w:val="hybridMultilevel"/>
    <w:tmpl w:val="6FE65A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9FD5FDB"/>
    <w:multiLevelType w:val="hybridMultilevel"/>
    <w:tmpl w:val="23E6A428"/>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55B83"/>
    <w:multiLevelType w:val="hybridMultilevel"/>
    <w:tmpl w:val="E106693A"/>
    <w:lvl w:ilvl="0" w:tplc="074C6E0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A76C2"/>
    <w:multiLevelType w:val="hybridMultilevel"/>
    <w:tmpl w:val="FA3686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D6227"/>
    <w:multiLevelType w:val="hybridMultilevel"/>
    <w:tmpl w:val="64EAF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E2111"/>
    <w:multiLevelType w:val="hybridMultilevel"/>
    <w:tmpl w:val="6B480320"/>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B1742"/>
    <w:multiLevelType w:val="hybridMultilevel"/>
    <w:tmpl w:val="D0E46004"/>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72A5E"/>
    <w:multiLevelType w:val="hybridMultilevel"/>
    <w:tmpl w:val="1A58090C"/>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34F"/>
    <w:multiLevelType w:val="hybridMultilevel"/>
    <w:tmpl w:val="231A21A2"/>
    <w:lvl w:ilvl="0" w:tplc="1009000F">
      <w:start w:val="1"/>
      <w:numFmt w:val="decimal"/>
      <w:lvlText w:val="%1."/>
      <w:lvlJc w:val="left"/>
      <w:pPr>
        <w:ind w:left="767" w:hanging="360"/>
      </w:pPr>
    </w:lvl>
    <w:lvl w:ilvl="1" w:tplc="10090019" w:tentative="1">
      <w:start w:val="1"/>
      <w:numFmt w:val="lowerLetter"/>
      <w:lvlText w:val="%2."/>
      <w:lvlJc w:val="left"/>
      <w:pPr>
        <w:ind w:left="1487" w:hanging="360"/>
      </w:pPr>
    </w:lvl>
    <w:lvl w:ilvl="2" w:tplc="1009001B" w:tentative="1">
      <w:start w:val="1"/>
      <w:numFmt w:val="lowerRoman"/>
      <w:lvlText w:val="%3."/>
      <w:lvlJc w:val="right"/>
      <w:pPr>
        <w:ind w:left="2207" w:hanging="180"/>
      </w:pPr>
    </w:lvl>
    <w:lvl w:ilvl="3" w:tplc="1009000F" w:tentative="1">
      <w:start w:val="1"/>
      <w:numFmt w:val="decimal"/>
      <w:lvlText w:val="%4."/>
      <w:lvlJc w:val="left"/>
      <w:pPr>
        <w:ind w:left="2927" w:hanging="360"/>
      </w:pPr>
    </w:lvl>
    <w:lvl w:ilvl="4" w:tplc="10090019" w:tentative="1">
      <w:start w:val="1"/>
      <w:numFmt w:val="lowerLetter"/>
      <w:lvlText w:val="%5."/>
      <w:lvlJc w:val="left"/>
      <w:pPr>
        <w:ind w:left="3647" w:hanging="360"/>
      </w:pPr>
    </w:lvl>
    <w:lvl w:ilvl="5" w:tplc="1009001B" w:tentative="1">
      <w:start w:val="1"/>
      <w:numFmt w:val="lowerRoman"/>
      <w:lvlText w:val="%6."/>
      <w:lvlJc w:val="right"/>
      <w:pPr>
        <w:ind w:left="4367" w:hanging="180"/>
      </w:pPr>
    </w:lvl>
    <w:lvl w:ilvl="6" w:tplc="1009000F" w:tentative="1">
      <w:start w:val="1"/>
      <w:numFmt w:val="decimal"/>
      <w:lvlText w:val="%7."/>
      <w:lvlJc w:val="left"/>
      <w:pPr>
        <w:ind w:left="5087" w:hanging="360"/>
      </w:pPr>
    </w:lvl>
    <w:lvl w:ilvl="7" w:tplc="10090019" w:tentative="1">
      <w:start w:val="1"/>
      <w:numFmt w:val="lowerLetter"/>
      <w:lvlText w:val="%8."/>
      <w:lvlJc w:val="left"/>
      <w:pPr>
        <w:ind w:left="5807" w:hanging="360"/>
      </w:pPr>
    </w:lvl>
    <w:lvl w:ilvl="8" w:tplc="1009001B" w:tentative="1">
      <w:start w:val="1"/>
      <w:numFmt w:val="lowerRoman"/>
      <w:lvlText w:val="%9."/>
      <w:lvlJc w:val="right"/>
      <w:pPr>
        <w:ind w:left="6527" w:hanging="180"/>
      </w:pPr>
    </w:lvl>
  </w:abstractNum>
  <w:abstractNum w:abstractNumId="24" w15:restartNumberingAfterBreak="0">
    <w:nsid w:val="54BA1E5A"/>
    <w:multiLevelType w:val="multilevel"/>
    <w:tmpl w:val="C56EAF08"/>
    <w:styleLink w:val="ZZBullets"/>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527038F"/>
    <w:multiLevelType w:val="hybridMultilevel"/>
    <w:tmpl w:val="8E92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70D73"/>
    <w:multiLevelType w:val="hybridMultilevel"/>
    <w:tmpl w:val="5E80D368"/>
    <w:lvl w:ilvl="0" w:tplc="DE48140A">
      <w:start w:val="1"/>
      <w:numFmt w:val="bullet"/>
      <w:lvlText w:val=""/>
      <w:lvlJc w:val="left"/>
      <w:pPr>
        <w:ind w:left="1080" w:hanging="360"/>
      </w:pPr>
      <w:rPr>
        <w:rFonts w:ascii="Symbol" w:hAnsi="Symbol" w:hint="default"/>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8F17E1"/>
    <w:multiLevelType w:val="hybridMultilevel"/>
    <w:tmpl w:val="8AF0A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E660F3"/>
    <w:multiLevelType w:val="hybridMultilevel"/>
    <w:tmpl w:val="1BC6D432"/>
    <w:lvl w:ilvl="0" w:tplc="DE48140A">
      <w:start w:val="1"/>
      <w:numFmt w:val="bullet"/>
      <w:lvlText w:val=""/>
      <w:lvlJc w:val="left"/>
      <w:pPr>
        <w:ind w:left="720" w:hanging="360"/>
      </w:pPr>
      <w:rPr>
        <w:rFonts w:ascii="Symbol" w:hAnsi="Symbol"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C4AC7"/>
    <w:multiLevelType w:val="hybridMultilevel"/>
    <w:tmpl w:val="457CF4C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93158FF"/>
    <w:multiLevelType w:val="hybridMultilevel"/>
    <w:tmpl w:val="E51AA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4A0BF4"/>
    <w:multiLevelType w:val="hybridMultilevel"/>
    <w:tmpl w:val="A4D4F9D6"/>
    <w:lvl w:ilvl="0" w:tplc="DE48140A">
      <w:start w:val="1"/>
      <w:numFmt w:val="bullet"/>
      <w:lvlText w:val=""/>
      <w:lvlJc w:val="left"/>
      <w:pPr>
        <w:ind w:left="360" w:hanging="360"/>
      </w:pPr>
      <w:rPr>
        <w:rFonts w:ascii="Symbol" w:hAnsi="Symbol" w:hint="default"/>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1B541E"/>
    <w:multiLevelType w:val="hybridMultilevel"/>
    <w:tmpl w:val="88A24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331DEC"/>
    <w:multiLevelType w:val="hybridMultilevel"/>
    <w:tmpl w:val="B234E0B0"/>
    <w:lvl w:ilvl="0" w:tplc="DE48140A">
      <w:start w:val="1"/>
      <w:numFmt w:val="bullet"/>
      <w:lvlText w:val=""/>
      <w:lvlJc w:val="left"/>
      <w:pPr>
        <w:ind w:left="360" w:hanging="360"/>
      </w:pPr>
      <w:rPr>
        <w:rFonts w:ascii="Symbol" w:hAnsi="Symbol" w:hint="default"/>
        <w:w w:val="99"/>
        <w:sz w:val="20"/>
        <w:szCs w:val="20"/>
      </w:rPr>
    </w:lvl>
    <w:lvl w:ilvl="1" w:tplc="1C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BE00A1"/>
    <w:multiLevelType w:val="hybridMultilevel"/>
    <w:tmpl w:val="F0B28488"/>
    <w:lvl w:ilvl="0" w:tplc="DE48140A">
      <w:start w:val="1"/>
      <w:numFmt w:val="bullet"/>
      <w:lvlText w:val=""/>
      <w:lvlJc w:val="left"/>
      <w:pPr>
        <w:ind w:left="1080" w:hanging="360"/>
      </w:pPr>
      <w:rPr>
        <w:rFonts w:ascii="Symbol" w:hAnsi="Symbol" w:hint="default"/>
        <w:w w:val="99"/>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E55E03"/>
    <w:multiLevelType w:val="hybridMultilevel"/>
    <w:tmpl w:val="C9C66AF6"/>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B0492"/>
    <w:multiLevelType w:val="hybridMultilevel"/>
    <w:tmpl w:val="1792B406"/>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74ECA"/>
    <w:multiLevelType w:val="hybridMultilevel"/>
    <w:tmpl w:val="57BC481C"/>
    <w:lvl w:ilvl="0" w:tplc="DE48140A">
      <w:start w:val="1"/>
      <w:numFmt w:val="bullet"/>
      <w:lvlText w:val=""/>
      <w:lvlJc w:val="left"/>
      <w:pPr>
        <w:ind w:left="360" w:hanging="360"/>
      </w:pPr>
      <w:rPr>
        <w:rFonts w:ascii="Symbol" w:hAnsi="Symbol"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A09030A6">
      <w:start w:val="11"/>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E808F5"/>
    <w:multiLevelType w:val="hybridMultilevel"/>
    <w:tmpl w:val="B0B49D62"/>
    <w:lvl w:ilvl="0" w:tplc="074C6E0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5"/>
  </w:num>
  <w:num w:numId="4">
    <w:abstractNumId w:val="15"/>
  </w:num>
  <w:num w:numId="5">
    <w:abstractNumId w:val="18"/>
  </w:num>
  <w:num w:numId="6">
    <w:abstractNumId w:val="19"/>
  </w:num>
  <w:num w:numId="7">
    <w:abstractNumId w:val="3"/>
  </w:num>
  <w:num w:numId="8">
    <w:abstractNumId w:val="26"/>
  </w:num>
  <w:num w:numId="9">
    <w:abstractNumId w:val="34"/>
  </w:num>
  <w:num w:numId="10">
    <w:abstractNumId w:val="33"/>
  </w:num>
  <w:num w:numId="11">
    <w:abstractNumId w:val="31"/>
  </w:num>
  <w:num w:numId="12">
    <w:abstractNumId w:val="14"/>
  </w:num>
  <w:num w:numId="13">
    <w:abstractNumId w:val="28"/>
  </w:num>
  <w:num w:numId="14">
    <w:abstractNumId w:val="5"/>
  </w:num>
  <w:num w:numId="15">
    <w:abstractNumId w:val="37"/>
  </w:num>
  <w:num w:numId="16">
    <w:abstractNumId w:val="9"/>
  </w:num>
  <w:num w:numId="17">
    <w:abstractNumId w:val="1"/>
  </w:num>
  <w:num w:numId="18">
    <w:abstractNumId w:val="20"/>
  </w:num>
  <w:num w:numId="19">
    <w:abstractNumId w:val="38"/>
  </w:num>
  <w:num w:numId="20">
    <w:abstractNumId w:val="35"/>
  </w:num>
  <w:num w:numId="21">
    <w:abstractNumId w:val="36"/>
  </w:num>
  <w:num w:numId="22">
    <w:abstractNumId w:val="2"/>
  </w:num>
  <w:num w:numId="23">
    <w:abstractNumId w:val="22"/>
  </w:num>
  <w:num w:numId="24">
    <w:abstractNumId w:val="17"/>
  </w:num>
  <w:num w:numId="25">
    <w:abstractNumId w:val="16"/>
  </w:num>
  <w:num w:numId="26">
    <w:abstractNumId w:val="4"/>
  </w:num>
  <w:num w:numId="27">
    <w:abstractNumId w:val="21"/>
  </w:num>
  <w:num w:numId="28">
    <w:abstractNumId w:val="29"/>
  </w:num>
  <w:num w:numId="29">
    <w:abstractNumId w:val="32"/>
  </w:num>
  <w:num w:numId="30">
    <w:abstractNumId w:val="23"/>
  </w:num>
  <w:num w:numId="31">
    <w:abstractNumId w:val="10"/>
  </w:num>
  <w:num w:numId="32">
    <w:abstractNumId w:val="11"/>
  </w:num>
  <w:num w:numId="33">
    <w:abstractNumId w:val="30"/>
  </w:num>
  <w:num w:numId="34">
    <w:abstractNumId w:val="13"/>
  </w:num>
  <w:num w:numId="35">
    <w:abstractNumId w:val="7"/>
  </w:num>
  <w:num w:numId="36">
    <w:abstractNumId w:val="27"/>
  </w:num>
  <w:num w:numId="37">
    <w:abstractNumId w:val="6"/>
  </w:num>
  <w:num w:numId="38">
    <w:abstractNumId w:val="8"/>
  </w:num>
  <w:num w:numId="3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sDQ0tTSytDQ2MzBQ0lEKTi0uzszPAykwqgUAbFjHriwAAAA="/>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re2taxlax2sqezt0kv0afm2vr2vt95dwsz&quot;&gt;My EndNote Library 16Nov2018&lt;record-ids&gt;&lt;item&gt;219&lt;/item&gt;&lt;item&gt;241&lt;/item&gt;&lt;item&gt;242&lt;/item&gt;&lt;item&gt;243&lt;/item&gt;&lt;item&gt;244&lt;/item&gt;&lt;item&gt;245&lt;/item&gt;&lt;item&gt;247&lt;/item&gt;&lt;item&gt;248&lt;/item&gt;&lt;item&gt;249&lt;/item&gt;&lt;item&gt;250&lt;/item&gt;&lt;item&gt;251&lt;/item&gt;&lt;item&gt;252&lt;/item&gt;&lt;item&gt;253&lt;/item&gt;&lt;/record-ids&gt;&lt;/item&gt;&lt;/Libraries&gt;"/>
  </w:docVars>
  <w:rsids>
    <w:rsidRoot w:val="00A52F33"/>
    <w:rsid w:val="0000079B"/>
    <w:rsid w:val="0000255D"/>
    <w:rsid w:val="000027A0"/>
    <w:rsid w:val="000074B1"/>
    <w:rsid w:val="000117FB"/>
    <w:rsid w:val="00011AAA"/>
    <w:rsid w:val="00013B7C"/>
    <w:rsid w:val="00016AEE"/>
    <w:rsid w:val="00021FFE"/>
    <w:rsid w:val="00025BE3"/>
    <w:rsid w:val="00026417"/>
    <w:rsid w:val="00031021"/>
    <w:rsid w:val="000310FE"/>
    <w:rsid w:val="00043C22"/>
    <w:rsid w:val="00045014"/>
    <w:rsid w:val="00050CEF"/>
    <w:rsid w:val="000514E2"/>
    <w:rsid w:val="00053893"/>
    <w:rsid w:val="00053B71"/>
    <w:rsid w:val="00054416"/>
    <w:rsid w:val="00055286"/>
    <w:rsid w:val="00061D56"/>
    <w:rsid w:val="0006583D"/>
    <w:rsid w:val="0006611B"/>
    <w:rsid w:val="00066836"/>
    <w:rsid w:val="00067552"/>
    <w:rsid w:val="00067702"/>
    <w:rsid w:val="0007217E"/>
    <w:rsid w:val="00075607"/>
    <w:rsid w:val="00075DAA"/>
    <w:rsid w:val="00076F1F"/>
    <w:rsid w:val="00081723"/>
    <w:rsid w:val="00081ACA"/>
    <w:rsid w:val="00084101"/>
    <w:rsid w:val="00084B36"/>
    <w:rsid w:val="00085138"/>
    <w:rsid w:val="0008786A"/>
    <w:rsid w:val="00091EC4"/>
    <w:rsid w:val="00096361"/>
    <w:rsid w:val="00097457"/>
    <w:rsid w:val="00097B78"/>
    <w:rsid w:val="000A3D1F"/>
    <w:rsid w:val="000A7582"/>
    <w:rsid w:val="000B0865"/>
    <w:rsid w:val="000B0D8B"/>
    <w:rsid w:val="000B23F3"/>
    <w:rsid w:val="000B3C90"/>
    <w:rsid w:val="000B6E75"/>
    <w:rsid w:val="000C022B"/>
    <w:rsid w:val="000C135E"/>
    <w:rsid w:val="000C1CCA"/>
    <w:rsid w:val="000C41A8"/>
    <w:rsid w:val="000C549B"/>
    <w:rsid w:val="000D06A8"/>
    <w:rsid w:val="000D116C"/>
    <w:rsid w:val="000D4725"/>
    <w:rsid w:val="000D7E76"/>
    <w:rsid w:val="000E0183"/>
    <w:rsid w:val="000E0E67"/>
    <w:rsid w:val="000E30A9"/>
    <w:rsid w:val="000E31A3"/>
    <w:rsid w:val="000E558E"/>
    <w:rsid w:val="000E58EE"/>
    <w:rsid w:val="000E68FA"/>
    <w:rsid w:val="000F096A"/>
    <w:rsid w:val="000F2733"/>
    <w:rsid w:val="000F2AE3"/>
    <w:rsid w:val="000F5D79"/>
    <w:rsid w:val="000F71E1"/>
    <w:rsid w:val="00101B88"/>
    <w:rsid w:val="001024B5"/>
    <w:rsid w:val="00103544"/>
    <w:rsid w:val="00105DAA"/>
    <w:rsid w:val="00105E03"/>
    <w:rsid w:val="00107F83"/>
    <w:rsid w:val="001120AF"/>
    <w:rsid w:val="00112282"/>
    <w:rsid w:val="00115100"/>
    <w:rsid w:val="00115EEF"/>
    <w:rsid w:val="0011752F"/>
    <w:rsid w:val="00120061"/>
    <w:rsid w:val="00122481"/>
    <w:rsid w:val="001244A3"/>
    <w:rsid w:val="00124C92"/>
    <w:rsid w:val="00125515"/>
    <w:rsid w:val="00125C05"/>
    <w:rsid w:val="00127F20"/>
    <w:rsid w:val="00131C39"/>
    <w:rsid w:val="00132127"/>
    <w:rsid w:val="001339B8"/>
    <w:rsid w:val="00135AA9"/>
    <w:rsid w:val="00136CB7"/>
    <w:rsid w:val="00142216"/>
    <w:rsid w:val="00143484"/>
    <w:rsid w:val="00144C0C"/>
    <w:rsid w:val="001454A6"/>
    <w:rsid w:val="00145C17"/>
    <w:rsid w:val="001471F6"/>
    <w:rsid w:val="00152576"/>
    <w:rsid w:val="00152D71"/>
    <w:rsid w:val="00152FAE"/>
    <w:rsid w:val="00153497"/>
    <w:rsid w:val="00154036"/>
    <w:rsid w:val="00154494"/>
    <w:rsid w:val="001548EC"/>
    <w:rsid w:val="00155F22"/>
    <w:rsid w:val="001606CD"/>
    <w:rsid w:val="001616C7"/>
    <w:rsid w:val="0016257D"/>
    <w:rsid w:val="001631F1"/>
    <w:rsid w:val="0016370A"/>
    <w:rsid w:val="00163B28"/>
    <w:rsid w:val="00163D27"/>
    <w:rsid w:val="00164840"/>
    <w:rsid w:val="00166A6E"/>
    <w:rsid w:val="00166CF2"/>
    <w:rsid w:val="00167952"/>
    <w:rsid w:val="0017128B"/>
    <w:rsid w:val="00172234"/>
    <w:rsid w:val="0017350B"/>
    <w:rsid w:val="00175C92"/>
    <w:rsid w:val="0017752B"/>
    <w:rsid w:val="00177A38"/>
    <w:rsid w:val="00180C41"/>
    <w:rsid w:val="0018140D"/>
    <w:rsid w:val="001815F4"/>
    <w:rsid w:val="00181D26"/>
    <w:rsid w:val="00183285"/>
    <w:rsid w:val="00183A3F"/>
    <w:rsid w:val="00184577"/>
    <w:rsid w:val="00185381"/>
    <w:rsid w:val="00186B96"/>
    <w:rsid w:val="001904F0"/>
    <w:rsid w:val="00193D96"/>
    <w:rsid w:val="00194CF1"/>
    <w:rsid w:val="0019545B"/>
    <w:rsid w:val="001A0D17"/>
    <w:rsid w:val="001A197E"/>
    <w:rsid w:val="001A4636"/>
    <w:rsid w:val="001A5C33"/>
    <w:rsid w:val="001A5C67"/>
    <w:rsid w:val="001A5EDD"/>
    <w:rsid w:val="001B07FA"/>
    <w:rsid w:val="001B1007"/>
    <w:rsid w:val="001B19DD"/>
    <w:rsid w:val="001B1A33"/>
    <w:rsid w:val="001B4B05"/>
    <w:rsid w:val="001B4C50"/>
    <w:rsid w:val="001B5121"/>
    <w:rsid w:val="001B59D4"/>
    <w:rsid w:val="001B6604"/>
    <w:rsid w:val="001B6FE9"/>
    <w:rsid w:val="001C0292"/>
    <w:rsid w:val="001C0A3A"/>
    <w:rsid w:val="001C2613"/>
    <w:rsid w:val="001C3E83"/>
    <w:rsid w:val="001C3F5F"/>
    <w:rsid w:val="001C43DC"/>
    <w:rsid w:val="001C4449"/>
    <w:rsid w:val="001C7ACB"/>
    <w:rsid w:val="001C7C3D"/>
    <w:rsid w:val="001D0A10"/>
    <w:rsid w:val="001D0D10"/>
    <w:rsid w:val="001D1E00"/>
    <w:rsid w:val="001D1FE5"/>
    <w:rsid w:val="001D43CE"/>
    <w:rsid w:val="001D453B"/>
    <w:rsid w:val="001D52D5"/>
    <w:rsid w:val="001E1260"/>
    <w:rsid w:val="001E2605"/>
    <w:rsid w:val="001E2836"/>
    <w:rsid w:val="001E37D6"/>
    <w:rsid w:val="001E5C77"/>
    <w:rsid w:val="001E5F41"/>
    <w:rsid w:val="001F1791"/>
    <w:rsid w:val="001F2C34"/>
    <w:rsid w:val="001F4DF5"/>
    <w:rsid w:val="001F6124"/>
    <w:rsid w:val="002007E1"/>
    <w:rsid w:val="00203E19"/>
    <w:rsid w:val="00204A54"/>
    <w:rsid w:val="00206504"/>
    <w:rsid w:val="00206BED"/>
    <w:rsid w:val="00207367"/>
    <w:rsid w:val="0021011E"/>
    <w:rsid w:val="002106C2"/>
    <w:rsid w:val="0021090A"/>
    <w:rsid w:val="00211262"/>
    <w:rsid w:val="00212CA1"/>
    <w:rsid w:val="002140D9"/>
    <w:rsid w:val="00214A54"/>
    <w:rsid w:val="002151F9"/>
    <w:rsid w:val="0022131A"/>
    <w:rsid w:val="002220C6"/>
    <w:rsid w:val="002227EB"/>
    <w:rsid w:val="002233F3"/>
    <w:rsid w:val="0022797D"/>
    <w:rsid w:val="00227DE2"/>
    <w:rsid w:val="00230723"/>
    <w:rsid w:val="00230F53"/>
    <w:rsid w:val="0023175F"/>
    <w:rsid w:val="0023178B"/>
    <w:rsid w:val="0023312F"/>
    <w:rsid w:val="002379BA"/>
    <w:rsid w:val="0024039A"/>
    <w:rsid w:val="00240ECC"/>
    <w:rsid w:val="002413B9"/>
    <w:rsid w:val="002469C2"/>
    <w:rsid w:val="00246F2E"/>
    <w:rsid w:val="00247F1C"/>
    <w:rsid w:val="00252864"/>
    <w:rsid w:val="00252B8E"/>
    <w:rsid w:val="002531AE"/>
    <w:rsid w:val="00256C49"/>
    <w:rsid w:val="00260299"/>
    <w:rsid w:val="00261415"/>
    <w:rsid w:val="00261A62"/>
    <w:rsid w:val="00262AF5"/>
    <w:rsid w:val="0026302B"/>
    <w:rsid w:val="00264543"/>
    <w:rsid w:val="00265C8C"/>
    <w:rsid w:val="00266148"/>
    <w:rsid w:val="00267A33"/>
    <w:rsid w:val="00267EB0"/>
    <w:rsid w:val="00270F7B"/>
    <w:rsid w:val="002722D2"/>
    <w:rsid w:val="0027670C"/>
    <w:rsid w:val="0027718F"/>
    <w:rsid w:val="0028239D"/>
    <w:rsid w:val="00282E66"/>
    <w:rsid w:val="00284E85"/>
    <w:rsid w:val="00285E06"/>
    <w:rsid w:val="002911AB"/>
    <w:rsid w:val="00293BAB"/>
    <w:rsid w:val="00294341"/>
    <w:rsid w:val="00294DC4"/>
    <w:rsid w:val="00295E84"/>
    <w:rsid w:val="0029650E"/>
    <w:rsid w:val="002975A9"/>
    <w:rsid w:val="002A037F"/>
    <w:rsid w:val="002A0B2E"/>
    <w:rsid w:val="002A0D18"/>
    <w:rsid w:val="002A15C7"/>
    <w:rsid w:val="002A5FC8"/>
    <w:rsid w:val="002B041F"/>
    <w:rsid w:val="002B0F9A"/>
    <w:rsid w:val="002B1960"/>
    <w:rsid w:val="002B2306"/>
    <w:rsid w:val="002B26BC"/>
    <w:rsid w:val="002B35E6"/>
    <w:rsid w:val="002B76F4"/>
    <w:rsid w:val="002B7943"/>
    <w:rsid w:val="002C11B3"/>
    <w:rsid w:val="002C142D"/>
    <w:rsid w:val="002C3C3C"/>
    <w:rsid w:val="002C4160"/>
    <w:rsid w:val="002D188C"/>
    <w:rsid w:val="002D381C"/>
    <w:rsid w:val="002D635C"/>
    <w:rsid w:val="002D6889"/>
    <w:rsid w:val="002D6A7E"/>
    <w:rsid w:val="002D7F37"/>
    <w:rsid w:val="002E1D5D"/>
    <w:rsid w:val="002E545F"/>
    <w:rsid w:val="002E5AD9"/>
    <w:rsid w:val="002E63E9"/>
    <w:rsid w:val="002F0CC5"/>
    <w:rsid w:val="002F1DFD"/>
    <w:rsid w:val="002F405F"/>
    <w:rsid w:val="002F77CB"/>
    <w:rsid w:val="00302CD8"/>
    <w:rsid w:val="00303C97"/>
    <w:rsid w:val="0030641F"/>
    <w:rsid w:val="00307409"/>
    <w:rsid w:val="00312253"/>
    <w:rsid w:val="00313252"/>
    <w:rsid w:val="00314799"/>
    <w:rsid w:val="00317CFF"/>
    <w:rsid w:val="00323F85"/>
    <w:rsid w:val="00327D08"/>
    <w:rsid w:val="003303C9"/>
    <w:rsid w:val="00330B06"/>
    <w:rsid w:val="00334603"/>
    <w:rsid w:val="003351E3"/>
    <w:rsid w:val="00335C6C"/>
    <w:rsid w:val="00341B09"/>
    <w:rsid w:val="003426F5"/>
    <w:rsid w:val="0034282B"/>
    <w:rsid w:val="00343319"/>
    <w:rsid w:val="00343A03"/>
    <w:rsid w:val="003440B1"/>
    <w:rsid w:val="00344DEF"/>
    <w:rsid w:val="00355B1C"/>
    <w:rsid w:val="003575F8"/>
    <w:rsid w:val="00361756"/>
    <w:rsid w:val="0036192F"/>
    <w:rsid w:val="00363ED0"/>
    <w:rsid w:val="00365557"/>
    <w:rsid w:val="003701EE"/>
    <w:rsid w:val="00370CA6"/>
    <w:rsid w:val="00372EA1"/>
    <w:rsid w:val="0037738D"/>
    <w:rsid w:val="00380913"/>
    <w:rsid w:val="003811D5"/>
    <w:rsid w:val="00381848"/>
    <w:rsid w:val="00382B3A"/>
    <w:rsid w:val="00383248"/>
    <w:rsid w:val="00383F56"/>
    <w:rsid w:val="003851DF"/>
    <w:rsid w:val="00387812"/>
    <w:rsid w:val="00392752"/>
    <w:rsid w:val="00394E2D"/>
    <w:rsid w:val="003963B4"/>
    <w:rsid w:val="00397F89"/>
    <w:rsid w:val="003A2B1D"/>
    <w:rsid w:val="003A3534"/>
    <w:rsid w:val="003A55D4"/>
    <w:rsid w:val="003A57E2"/>
    <w:rsid w:val="003A7C2D"/>
    <w:rsid w:val="003B2F87"/>
    <w:rsid w:val="003B3A29"/>
    <w:rsid w:val="003B6117"/>
    <w:rsid w:val="003B61C2"/>
    <w:rsid w:val="003C1269"/>
    <w:rsid w:val="003C1E85"/>
    <w:rsid w:val="003C1ED9"/>
    <w:rsid w:val="003C2D2D"/>
    <w:rsid w:val="003C353C"/>
    <w:rsid w:val="003C3B62"/>
    <w:rsid w:val="003C4223"/>
    <w:rsid w:val="003C53A6"/>
    <w:rsid w:val="003C6027"/>
    <w:rsid w:val="003C6FD7"/>
    <w:rsid w:val="003C7F97"/>
    <w:rsid w:val="003D1B70"/>
    <w:rsid w:val="003D47FC"/>
    <w:rsid w:val="003D5E8F"/>
    <w:rsid w:val="003D5F70"/>
    <w:rsid w:val="003E1485"/>
    <w:rsid w:val="003E1AAE"/>
    <w:rsid w:val="003E2E46"/>
    <w:rsid w:val="003E31A5"/>
    <w:rsid w:val="003F15CC"/>
    <w:rsid w:val="003F195E"/>
    <w:rsid w:val="003F1FC3"/>
    <w:rsid w:val="003F274B"/>
    <w:rsid w:val="003F34EE"/>
    <w:rsid w:val="003F4563"/>
    <w:rsid w:val="003F4CEF"/>
    <w:rsid w:val="003F4F80"/>
    <w:rsid w:val="003F64DA"/>
    <w:rsid w:val="003F6A46"/>
    <w:rsid w:val="003F70BF"/>
    <w:rsid w:val="00403912"/>
    <w:rsid w:val="004042D8"/>
    <w:rsid w:val="0040608F"/>
    <w:rsid w:val="00407072"/>
    <w:rsid w:val="004077AB"/>
    <w:rsid w:val="00410B0A"/>
    <w:rsid w:val="00417039"/>
    <w:rsid w:val="00417340"/>
    <w:rsid w:val="0041754F"/>
    <w:rsid w:val="00420B1E"/>
    <w:rsid w:val="00422D0F"/>
    <w:rsid w:val="004246DB"/>
    <w:rsid w:val="00424B13"/>
    <w:rsid w:val="00425088"/>
    <w:rsid w:val="004278EA"/>
    <w:rsid w:val="004301E6"/>
    <w:rsid w:val="00430CD8"/>
    <w:rsid w:val="0043119E"/>
    <w:rsid w:val="00431467"/>
    <w:rsid w:val="00431659"/>
    <w:rsid w:val="004335E7"/>
    <w:rsid w:val="00433D3A"/>
    <w:rsid w:val="00433ECF"/>
    <w:rsid w:val="004353D5"/>
    <w:rsid w:val="00435F36"/>
    <w:rsid w:val="00437795"/>
    <w:rsid w:val="00442DE9"/>
    <w:rsid w:val="00443A17"/>
    <w:rsid w:val="00443B04"/>
    <w:rsid w:val="00444860"/>
    <w:rsid w:val="00446E22"/>
    <w:rsid w:val="00447006"/>
    <w:rsid w:val="00447533"/>
    <w:rsid w:val="004505A2"/>
    <w:rsid w:val="004506AF"/>
    <w:rsid w:val="00451879"/>
    <w:rsid w:val="00453BA2"/>
    <w:rsid w:val="00455230"/>
    <w:rsid w:val="00456ABB"/>
    <w:rsid w:val="00456C70"/>
    <w:rsid w:val="00457872"/>
    <w:rsid w:val="00461050"/>
    <w:rsid w:val="00461B28"/>
    <w:rsid w:val="004629B7"/>
    <w:rsid w:val="00464A9E"/>
    <w:rsid w:val="00465261"/>
    <w:rsid w:val="00465E3C"/>
    <w:rsid w:val="004668F4"/>
    <w:rsid w:val="0046710D"/>
    <w:rsid w:val="00467E5E"/>
    <w:rsid w:val="00470A3F"/>
    <w:rsid w:val="00471381"/>
    <w:rsid w:val="00473671"/>
    <w:rsid w:val="0047375D"/>
    <w:rsid w:val="00473860"/>
    <w:rsid w:val="00473D4C"/>
    <w:rsid w:val="004747ED"/>
    <w:rsid w:val="00476A6F"/>
    <w:rsid w:val="00480345"/>
    <w:rsid w:val="00482E0B"/>
    <w:rsid w:val="004833B9"/>
    <w:rsid w:val="0048646E"/>
    <w:rsid w:val="004944EF"/>
    <w:rsid w:val="0049451A"/>
    <w:rsid w:val="00495AC4"/>
    <w:rsid w:val="00497D26"/>
    <w:rsid w:val="00497EBF"/>
    <w:rsid w:val="004A3345"/>
    <w:rsid w:val="004A5360"/>
    <w:rsid w:val="004A5CBF"/>
    <w:rsid w:val="004A6817"/>
    <w:rsid w:val="004A790E"/>
    <w:rsid w:val="004B0A3B"/>
    <w:rsid w:val="004B20E3"/>
    <w:rsid w:val="004B29D9"/>
    <w:rsid w:val="004B3980"/>
    <w:rsid w:val="004B48B6"/>
    <w:rsid w:val="004B4B2B"/>
    <w:rsid w:val="004B4F59"/>
    <w:rsid w:val="004B52A9"/>
    <w:rsid w:val="004B7C93"/>
    <w:rsid w:val="004C0561"/>
    <w:rsid w:val="004C0E99"/>
    <w:rsid w:val="004C0F4A"/>
    <w:rsid w:val="004C1904"/>
    <w:rsid w:val="004C26B8"/>
    <w:rsid w:val="004C34F6"/>
    <w:rsid w:val="004C38FA"/>
    <w:rsid w:val="004C5A10"/>
    <w:rsid w:val="004C5A3B"/>
    <w:rsid w:val="004C6DB4"/>
    <w:rsid w:val="004C6DDF"/>
    <w:rsid w:val="004D1192"/>
    <w:rsid w:val="004D287D"/>
    <w:rsid w:val="004D347D"/>
    <w:rsid w:val="004D391B"/>
    <w:rsid w:val="004D3A65"/>
    <w:rsid w:val="004D3D5D"/>
    <w:rsid w:val="004D3E7F"/>
    <w:rsid w:val="004D5281"/>
    <w:rsid w:val="004D598E"/>
    <w:rsid w:val="004D650A"/>
    <w:rsid w:val="004D6A83"/>
    <w:rsid w:val="004D756C"/>
    <w:rsid w:val="004D7647"/>
    <w:rsid w:val="004D76C2"/>
    <w:rsid w:val="004E0B52"/>
    <w:rsid w:val="004E1202"/>
    <w:rsid w:val="004E1DA2"/>
    <w:rsid w:val="004E1F3E"/>
    <w:rsid w:val="004E389C"/>
    <w:rsid w:val="004E4616"/>
    <w:rsid w:val="004E5D97"/>
    <w:rsid w:val="004E6019"/>
    <w:rsid w:val="004E7466"/>
    <w:rsid w:val="004E7D61"/>
    <w:rsid w:val="004F061F"/>
    <w:rsid w:val="004F0BD1"/>
    <w:rsid w:val="004F0CE0"/>
    <w:rsid w:val="004F0D15"/>
    <w:rsid w:val="004F2FE4"/>
    <w:rsid w:val="004F4291"/>
    <w:rsid w:val="004F5CAD"/>
    <w:rsid w:val="004F64F7"/>
    <w:rsid w:val="004F70FC"/>
    <w:rsid w:val="004F777A"/>
    <w:rsid w:val="00501651"/>
    <w:rsid w:val="00502AE6"/>
    <w:rsid w:val="00502CC8"/>
    <w:rsid w:val="00503162"/>
    <w:rsid w:val="00504AC7"/>
    <w:rsid w:val="0050556E"/>
    <w:rsid w:val="005077DD"/>
    <w:rsid w:val="00507A4F"/>
    <w:rsid w:val="005102C4"/>
    <w:rsid w:val="00510C57"/>
    <w:rsid w:val="00512BF1"/>
    <w:rsid w:val="0051592E"/>
    <w:rsid w:val="0051622E"/>
    <w:rsid w:val="00517401"/>
    <w:rsid w:val="00520D5A"/>
    <w:rsid w:val="00521E7D"/>
    <w:rsid w:val="00523724"/>
    <w:rsid w:val="005239AD"/>
    <w:rsid w:val="00524279"/>
    <w:rsid w:val="005243A4"/>
    <w:rsid w:val="0052569A"/>
    <w:rsid w:val="00526C1A"/>
    <w:rsid w:val="00531815"/>
    <w:rsid w:val="00533AC3"/>
    <w:rsid w:val="00535454"/>
    <w:rsid w:val="00536134"/>
    <w:rsid w:val="005368B8"/>
    <w:rsid w:val="00536B8A"/>
    <w:rsid w:val="005412F7"/>
    <w:rsid w:val="00541379"/>
    <w:rsid w:val="005449C6"/>
    <w:rsid w:val="005453B8"/>
    <w:rsid w:val="005464CF"/>
    <w:rsid w:val="00550B94"/>
    <w:rsid w:val="00551135"/>
    <w:rsid w:val="00551523"/>
    <w:rsid w:val="00557966"/>
    <w:rsid w:val="00557B9C"/>
    <w:rsid w:val="00560E3A"/>
    <w:rsid w:val="00563383"/>
    <w:rsid w:val="005640F0"/>
    <w:rsid w:val="005673C2"/>
    <w:rsid w:val="005732F7"/>
    <w:rsid w:val="005736CD"/>
    <w:rsid w:val="00574B2A"/>
    <w:rsid w:val="00576050"/>
    <w:rsid w:val="005764CB"/>
    <w:rsid w:val="005778FE"/>
    <w:rsid w:val="0058010E"/>
    <w:rsid w:val="005811CA"/>
    <w:rsid w:val="00582DBA"/>
    <w:rsid w:val="0058413D"/>
    <w:rsid w:val="0058507E"/>
    <w:rsid w:val="00587977"/>
    <w:rsid w:val="0059204F"/>
    <w:rsid w:val="00593782"/>
    <w:rsid w:val="005943EF"/>
    <w:rsid w:val="0059674E"/>
    <w:rsid w:val="00597F9A"/>
    <w:rsid w:val="005A01B7"/>
    <w:rsid w:val="005A3327"/>
    <w:rsid w:val="005A6C54"/>
    <w:rsid w:val="005A7397"/>
    <w:rsid w:val="005B11BA"/>
    <w:rsid w:val="005B12D4"/>
    <w:rsid w:val="005B43D4"/>
    <w:rsid w:val="005B4AF7"/>
    <w:rsid w:val="005B6E1B"/>
    <w:rsid w:val="005B6EE6"/>
    <w:rsid w:val="005B729E"/>
    <w:rsid w:val="005B7B01"/>
    <w:rsid w:val="005C2F26"/>
    <w:rsid w:val="005C3B11"/>
    <w:rsid w:val="005C4B5A"/>
    <w:rsid w:val="005C4FA4"/>
    <w:rsid w:val="005C5640"/>
    <w:rsid w:val="005D3EAC"/>
    <w:rsid w:val="005D4DE1"/>
    <w:rsid w:val="005D6AA5"/>
    <w:rsid w:val="005E028D"/>
    <w:rsid w:val="005E3B2C"/>
    <w:rsid w:val="005E3FB7"/>
    <w:rsid w:val="005E6189"/>
    <w:rsid w:val="005E6C29"/>
    <w:rsid w:val="005E6D30"/>
    <w:rsid w:val="005E6DDF"/>
    <w:rsid w:val="005E70B6"/>
    <w:rsid w:val="005F023E"/>
    <w:rsid w:val="005F076C"/>
    <w:rsid w:val="005F2DC2"/>
    <w:rsid w:val="005F46A9"/>
    <w:rsid w:val="005F7E76"/>
    <w:rsid w:val="00601D84"/>
    <w:rsid w:val="006033AC"/>
    <w:rsid w:val="006039F3"/>
    <w:rsid w:val="00604CC6"/>
    <w:rsid w:val="00605059"/>
    <w:rsid w:val="00606D03"/>
    <w:rsid w:val="00611670"/>
    <w:rsid w:val="00613D50"/>
    <w:rsid w:val="00616A41"/>
    <w:rsid w:val="00617708"/>
    <w:rsid w:val="00617BA6"/>
    <w:rsid w:val="00617FA1"/>
    <w:rsid w:val="00620745"/>
    <w:rsid w:val="00620D72"/>
    <w:rsid w:val="006215FF"/>
    <w:rsid w:val="0062222F"/>
    <w:rsid w:val="00622C60"/>
    <w:rsid w:val="006239E7"/>
    <w:rsid w:val="00626603"/>
    <w:rsid w:val="006277BF"/>
    <w:rsid w:val="00627BBD"/>
    <w:rsid w:val="00627DB6"/>
    <w:rsid w:val="00630F0E"/>
    <w:rsid w:val="006319A2"/>
    <w:rsid w:val="0063271B"/>
    <w:rsid w:val="0063355B"/>
    <w:rsid w:val="006363F5"/>
    <w:rsid w:val="006376F1"/>
    <w:rsid w:val="00640A66"/>
    <w:rsid w:val="00640B50"/>
    <w:rsid w:val="00641AA1"/>
    <w:rsid w:val="0064247E"/>
    <w:rsid w:val="00642A63"/>
    <w:rsid w:val="00643698"/>
    <w:rsid w:val="0064369A"/>
    <w:rsid w:val="00643C16"/>
    <w:rsid w:val="006454AB"/>
    <w:rsid w:val="0065051B"/>
    <w:rsid w:val="006509B2"/>
    <w:rsid w:val="006512C6"/>
    <w:rsid w:val="00651D9A"/>
    <w:rsid w:val="006527A8"/>
    <w:rsid w:val="00652B0F"/>
    <w:rsid w:val="00654017"/>
    <w:rsid w:val="006552BD"/>
    <w:rsid w:val="00656022"/>
    <w:rsid w:val="006564E9"/>
    <w:rsid w:val="0065781D"/>
    <w:rsid w:val="00657E45"/>
    <w:rsid w:val="00657F25"/>
    <w:rsid w:val="00662388"/>
    <w:rsid w:val="00662FB7"/>
    <w:rsid w:val="00663493"/>
    <w:rsid w:val="00663D57"/>
    <w:rsid w:val="00667CBB"/>
    <w:rsid w:val="00670344"/>
    <w:rsid w:val="006708D6"/>
    <w:rsid w:val="00675352"/>
    <w:rsid w:val="00675A14"/>
    <w:rsid w:val="00676063"/>
    <w:rsid w:val="00680BCF"/>
    <w:rsid w:val="00684D88"/>
    <w:rsid w:val="006854FB"/>
    <w:rsid w:val="00690219"/>
    <w:rsid w:val="00690985"/>
    <w:rsid w:val="006909EB"/>
    <w:rsid w:val="00691A94"/>
    <w:rsid w:val="006955E9"/>
    <w:rsid w:val="006970B4"/>
    <w:rsid w:val="00697FF2"/>
    <w:rsid w:val="006A0BA1"/>
    <w:rsid w:val="006A1174"/>
    <w:rsid w:val="006A2DC1"/>
    <w:rsid w:val="006A5802"/>
    <w:rsid w:val="006A5F67"/>
    <w:rsid w:val="006A62B7"/>
    <w:rsid w:val="006B17EE"/>
    <w:rsid w:val="006B21F6"/>
    <w:rsid w:val="006B3147"/>
    <w:rsid w:val="006B38FD"/>
    <w:rsid w:val="006B4C34"/>
    <w:rsid w:val="006B65EB"/>
    <w:rsid w:val="006B67A9"/>
    <w:rsid w:val="006C1B39"/>
    <w:rsid w:val="006C1C2B"/>
    <w:rsid w:val="006C1E9B"/>
    <w:rsid w:val="006C5908"/>
    <w:rsid w:val="006C5AFA"/>
    <w:rsid w:val="006D11EE"/>
    <w:rsid w:val="006D493E"/>
    <w:rsid w:val="006D5AA5"/>
    <w:rsid w:val="006D76BA"/>
    <w:rsid w:val="006E3746"/>
    <w:rsid w:val="006E438F"/>
    <w:rsid w:val="006E44CE"/>
    <w:rsid w:val="006E7206"/>
    <w:rsid w:val="006F6F69"/>
    <w:rsid w:val="00706440"/>
    <w:rsid w:val="007109E2"/>
    <w:rsid w:val="00711AFF"/>
    <w:rsid w:val="00712412"/>
    <w:rsid w:val="00715957"/>
    <w:rsid w:val="00717A00"/>
    <w:rsid w:val="0072001A"/>
    <w:rsid w:val="00723392"/>
    <w:rsid w:val="00723B5B"/>
    <w:rsid w:val="00725D5F"/>
    <w:rsid w:val="0072624B"/>
    <w:rsid w:val="00726C30"/>
    <w:rsid w:val="007314F2"/>
    <w:rsid w:val="00732B9A"/>
    <w:rsid w:val="0073438E"/>
    <w:rsid w:val="00736C74"/>
    <w:rsid w:val="007370D1"/>
    <w:rsid w:val="00740537"/>
    <w:rsid w:val="00742158"/>
    <w:rsid w:val="00742C8E"/>
    <w:rsid w:val="00743519"/>
    <w:rsid w:val="00744C08"/>
    <w:rsid w:val="00745D30"/>
    <w:rsid w:val="00745DF7"/>
    <w:rsid w:val="00746686"/>
    <w:rsid w:val="00746805"/>
    <w:rsid w:val="00746FC4"/>
    <w:rsid w:val="007471AA"/>
    <w:rsid w:val="00751092"/>
    <w:rsid w:val="00751790"/>
    <w:rsid w:val="0075258D"/>
    <w:rsid w:val="00752898"/>
    <w:rsid w:val="00753852"/>
    <w:rsid w:val="00753DC0"/>
    <w:rsid w:val="00754035"/>
    <w:rsid w:val="00755CFB"/>
    <w:rsid w:val="0075781B"/>
    <w:rsid w:val="0076247A"/>
    <w:rsid w:val="00764BE6"/>
    <w:rsid w:val="007669AA"/>
    <w:rsid w:val="00766E8D"/>
    <w:rsid w:val="00767606"/>
    <w:rsid w:val="00767623"/>
    <w:rsid w:val="00771FD1"/>
    <w:rsid w:val="00773250"/>
    <w:rsid w:val="007738E3"/>
    <w:rsid w:val="00775353"/>
    <w:rsid w:val="0077650F"/>
    <w:rsid w:val="00777021"/>
    <w:rsid w:val="00777CE9"/>
    <w:rsid w:val="00777E3B"/>
    <w:rsid w:val="00780417"/>
    <w:rsid w:val="00780DF0"/>
    <w:rsid w:val="0078165E"/>
    <w:rsid w:val="0078220B"/>
    <w:rsid w:val="00783ED8"/>
    <w:rsid w:val="00784AC6"/>
    <w:rsid w:val="00784C29"/>
    <w:rsid w:val="007862D3"/>
    <w:rsid w:val="00790A98"/>
    <w:rsid w:val="00795B05"/>
    <w:rsid w:val="00796686"/>
    <w:rsid w:val="007975AB"/>
    <w:rsid w:val="00797D2B"/>
    <w:rsid w:val="007A0131"/>
    <w:rsid w:val="007A3731"/>
    <w:rsid w:val="007A37D4"/>
    <w:rsid w:val="007A59E3"/>
    <w:rsid w:val="007A5E97"/>
    <w:rsid w:val="007B0611"/>
    <w:rsid w:val="007B45F5"/>
    <w:rsid w:val="007B4B3E"/>
    <w:rsid w:val="007B6546"/>
    <w:rsid w:val="007C08E1"/>
    <w:rsid w:val="007C09B2"/>
    <w:rsid w:val="007C0D56"/>
    <w:rsid w:val="007C3C4E"/>
    <w:rsid w:val="007C3E78"/>
    <w:rsid w:val="007C6A99"/>
    <w:rsid w:val="007C6B01"/>
    <w:rsid w:val="007D128C"/>
    <w:rsid w:val="007D15CE"/>
    <w:rsid w:val="007D3CD5"/>
    <w:rsid w:val="007D3FC1"/>
    <w:rsid w:val="007D4163"/>
    <w:rsid w:val="007D4289"/>
    <w:rsid w:val="007D4624"/>
    <w:rsid w:val="007D4C07"/>
    <w:rsid w:val="007D5ABD"/>
    <w:rsid w:val="007D7985"/>
    <w:rsid w:val="007E04D7"/>
    <w:rsid w:val="007E0DB1"/>
    <w:rsid w:val="007E1E90"/>
    <w:rsid w:val="007E2176"/>
    <w:rsid w:val="007E4ABE"/>
    <w:rsid w:val="007E5024"/>
    <w:rsid w:val="007E6490"/>
    <w:rsid w:val="007E7046"/>
    <w:rsid w:val="007F1A96"/>
    <w:rsid w:val="007F21D0"/>
    <w:rsid w:val="007F2FA1"/>
    <w:rsid w:val="007F30E4"/>
    <w:rsid w:val="0080064D"/>
    <w:rsid w:val="008006F4"/>
    <w:rsid w:val="008009DF"/>
    <w:rsid w:val="008009E2"/>
    <w:rsid w:val="00801319"/>
    <w:rsid w:val="00803926"/>
    <w:rsid w:val="00804EED"/>
    <w:rsid w:val="00805B80"/>
    <w:rsid w:val="008060D2"/>
    <w:rsid w:val="008069E8"/>
    <w:rsid w:val="00806D17"/>
    <w:rsid w:val="008109DD"/>
    <w:rsid w:val="00810F80"/>
    <w:rsid w:val="00811829"/>
    <w:rsid w:val="00812F63"/>
    <w:rsid w:val="0081379D"/>
    <w:rsid w:val="00815B69"/>
    <w:rsid w:val="00817032"/>
    <w:rsid w:val="00820205"/>
    <w:rsid w:val="00820247"/>
    <w:rsid w:val="00820413"/>
    <w:rsid w:val="00821B3B"/>
    <w:rsid w:val="00822B7C"/>
    <w:rsid w:val="0082368B"/>
    <w:rsid w:val="00823C45"/>
    <w:rsid w:val="00823DF3"/>
    <w:rsid w:val="008256AD"/>
    <w:rsid w:val="00830140"/>
    <w:rsid w:val="00831BEB"/>
    <w:rsid w:val="0083272F"/>
    <w:rsid w:val="0083353F"/>
    <w:rsid w:val="00835E69"/>
    <w:rsid w:val="00835F61"/>
    <w:rsid w:val="00836D97"/>
    <w:rsid w:val="00840ACB"/>
    <w:rsid w:val="008410D2"/>
    <w:rsid w:val="008423B8"/>
    <w:rsid w:val="00842DC1"/>
    <w:rsid w:val="008448A3"/>
    <w:rsid w:val="00845A93"/>
    <w:rsid w:val="00845CF0"/>
    <w:rsid w:val="00846082"/>
    <w:rsid w:val="0084631B"/>
    <w:rsid w:val="00851F65"/>
    <w:rsid w:val="008534DC"/>
    <w:rsid w:val="00863826"/>
    <w:rsid w:val="008639BC"/>
    <w:rsid w:val="008710F6"/>
    <w:rsid w:val="00871951"/>
    <w:rsid w:val="00874C5A"/>
    <w:rsid w:val="00876F35"/>
    <w:rsid w:val="00877841"/>
    <w:rsid w:val="00881488"/>
    <w:rsid w:val="00882288"/>
    <w:rsid w:val="0088414F"/>
    <w:rsid w:val="0088424A"/>
    <w:rsid w:val="00887A46"/>
    <w:rsid w:val="008905CF"/>
    <w:rsid w:val="008908CF"/>
    <w:rsid w:val="008910CF"/>
    <w:rsid w:val="00893380"/>
    <w:rsid w:val="008938BC"/>
    <w:rsid w:val="00894262"/>
    <w:rsid w:val="00897D79"/>
    <w:rsid w:val="008A003C"/>
    <w:rsid w:val="008A07AF"/>
    <w:rsid w:val="008A574B"/>
    <w:rsid w:val="008B0137"/>
    <w:rsid w:val="008B0A19"/>
    <w:rsid w:val="008B1FC3"/>
    <w:rsid w:val="008B2A85"/>
    <w:rsid w:val="008B6C94"/>
    <w:rsid w:val="008B7DAF"/>
    <w:rsid w:val="008C2084"/>
    <w:rsid w:val="008C2F02"/>
    <w:rsid w:val="008C46FE"/>
    <w:rsid w:val="008C4C69"/>
    <w:rsid w:val="008C5BA3"/>
    <w:rsid w:val="008C5DC7"/>
    <w:rsid w:val="008C5F31"/>
    <w:rsid w:val="008C6D99"/>
    <w:rsid w:val="008C78E9"/>
    <w:rsid w:val="008D2FF2"/>
    <w:rsid w:val="008D349A"/>
    <w:rsid w:val="008D431E"/>
    <w:rsid w:val="008D4804"/>
    <w:rsid w:val="008D4B46"/>
    <w:rsid w:val="008D4E48"/>
    <w:rsid w:val="008E05B6"/>
    <w:rsid w:val="008E3D35"/>
    <w:rsid w:val="008E42D9"/>
    <w:rsid w:val="008E7549"/>
    <w:rsid w:val="008F3D3A"/>
    <w:rsid w:val="008F4EF4"/>
    <w:rsid w:val="008F5976"/>
    <w:rsid w:val="008F5FE5"/>
    <w:rsid w:val="008F7469"/>
    <w:rsid w:val="008F7870"/>
    <w:rsid w:val="00900F45"/>
    <w:rsid w:val="0090426C"/>
    <w:rsid w:val="00904787"/>
    <w:rsid w:val="00904969"/>
    <w:rsid w:val="00905B98"/>
    <w:rsid w:val="00906BE2"/>
    <w:rsid w:val="009145C0"/>
    <w:rsid w:val="00920856"/>
    <w:rsid w:val="00923698"/>
    <w:rsid w:val="009253A9"/>
    <w:rsid w:val="00926819"/>
    <w:rsid w:val="00926DF3"/>
    <w:rsid w:val="00931910"/>
    <w:rsid w:val="00932B81"/>
    <w:rsid w:val="009335AC"/>
    <w:rsid w:val="00935E95"/>
    <w:rsid w:val="00941F08"/>
    <w:rsid w:val="00943BE9"/>
    <w:rsid w:val="00944DBF"/>
    <w:rsid w:val="00946924"/>
    <w:rsid w:val="00947049"/>
    <w:rsid w:val="00947A62"/>
    <w:rsid w:val="00950097"/>
    <w:rsid w:val="009505A1"/>
    <w:rsid w:val="00950A1D"/>
    <w:rsid w:val="00950ED1"/>
    <w:rsid w:val="009512A2"/>
    <w:rsid w:val="009533E2"/>
    <w:rsid w:val="009534E4"/>
    <w:rsid w:val="00953D05"/>
    <w:rsid w:val="00954925"/>
    <w:rsid w:val="00956AAB"/>
    <w:rsid w:val="00956E4D"/>
    <w:rsid w:val="009574EA"/>
    <w:rsid w:val="00961D86"/>
    <w:rsid w:val="009620A0"/>
    <w:rsid w:val="00963599"/>
    <w:rsid w:val="00963802"/>
    <w:rsid w:val="00965D16"/>
    <w:rsid w:val="00966E48"/>
    <w:rsid w:val="00972D89"/>
    <w:rsid w:val="00973E6B"/>
    <w:rsid w:val="00973F2F"/>
    <w:rsid w:val="009755CB"/>
    <w:rsid w:val="00980CA5"/>
    <w:rsid w:val="009818EB"/>
    <w:rsid w:val="00982458"/>
    <w:rsid w:val="0098376F"/>
    <w:rsid w:val="00983887"/>
    <w:rsid w:val="00984283"/>
    <w:rsid w:val="00985EB8"/>
    <w:rsid w:val="00985EFF"/>
    <w:rsid w:val="00991381"/>
    <w:rsid w:val="00991503"/>
    <w:rsid w:val="00991A1B"/>
    <w:rsid w:val="009948EA"/>
    <w:rsid w:val="009979A1"/>
    <w:rsid w:val="00997A56"/>
    <w:rsid w:val="009A09EF"/>
    <w:rsid w:val="009A0E1A"/>
    <w:rsid w:val="009A17A1"/>
    <w:rsid w:val="009A2CED"/>
    <w:rsid w:val="009A4ECD"/>
    <w:rsid w:val="009A6396"/>
    <w:rsid w:val="009A6EBD"/>
    <w:rsid w:val="009B1063"/>
    <w:rsid w:val="009B4577"/>
    <w:rsid w:val="009B4E0B"/>
    <w:rsid w:val="009B6B4A"/>
    <w:rsid w:val="009B7AE6"/>
    <w:rsid w:val="009C1500"/>
    <w:rsid w:val="009C16A9"/>
    <w:rsid w:val="009C540D"/>
    <w:rsid w:val="009C541E"/>
    <w:rsid w:val="009C5E74"/>
    <w:rsid w:val="009D0AE4"/>
    <w:rsid w:val="009D1B8B"/>
    <w:rsid w:val="009D4010"/>
    <w:rsid w:val="009D4146"/>
    <w:rsid w:val="009D4F02"/>
    <w:rsid w:val="009D6136"/>
    <w:rsid w:val="009D6CDD"/>
    <w:rsid w:val="009E0044"/>
    <w:rsid w:val="009E00D7"/>
    <w:rsid w:val="009E1AA0"/>
    <w:rsid w:val="009E23B8"/>
    <w:rsid w:val="009E24E7"/>
    <w:rsid w:val="009E27DF"/>
    <w:rsid w:val="009E31B4"/>
    <w:rsid w:val="009E324E"/>
    <w:rsid w:val="009E33EB"/>
    <w:rsid w:val="009E3790"/>
    <w:rsid w:val="009E5729"/>
    <w:rsid w:val="009E788F"/>
    <w:rsid w:val="009F089E"/>
    <w:rsid w:val="009F14CB"/>
    <w:rsid w:val="009F29E3"/>
    <w:rsid w:val="009F2B0F"/>
    <w:rsid w:val="009F41FE"/>
    <w:rsid w:val="009F5DDF"/>
    <w:rsid w:val="009F608C"/>
    <w:rsid w:val="009F6C3C"/>
    <w:rsid w:val="009F7F21"/>
    <w:rsid w:val="00A00045"/>
    <w:rsid w:val="00A00748"/>
    <w:rsid w:val="00A01F24"/>
    <w:rsid w:val="00A028B0"/>
    <w:rsid w:val="00A02A6B"/>
    <w:rsid w:val="00A04675"/>
    <w:rsid w:val="00A0769F"/>
    <w:rsid w:val="00A07E09"/>
    <w:rsid w:val="00A11CCA"/>
    <w:rsid w:val="00A11E09"/>
    <w:rsid w:val="00A1520A"/>
    <w:rsid w:val="00A1697C"/>
    <w:rsid w:val="00A16A41"/>
    <w:rsid w:val="00A210FB"/>
    <w:rsid w:val="00A21A83"/>
    <w:rsid w:val="00A245E8"/>
    <w:rsid w:val="00A24C9F"/>
    <w:rsid w:val="00A26A33"/>
    <w:rsid w:val="00A26B55"/>
    <w:rsid w:val="00A26C03"/>
    <w:rsid w:val="00A31505"/>
    <w:rsid w:val="00A31912"/>
    <w:rsid w:val="00A322FE"/>
    <w:rsid w:val="00A35D06"/>
    <w:rsid w:val="00A36DA4"/>
    <w:rsid w:val="00A36FA8"/>
    <w:rsid w:val="00A37071"/>
    <w:rsid w:val="00A405D0"/>
    <w:rsid w:val="00A41C62"/>
    <w:rsid w:val="00A4224A"/>
    <w:rsid w:val="00A424CF"/>
    <w:rsid w:val="00A44759"/>
    <w:rsid w:val="00A447FB"/>
    <w:rsid w:val="00A47E94"/>
    <w:rsid w:val="00A47EB5"/>
    <w:rsid w:val="00A52390"/>
    <w:rsid w:val="00A5289E"/>
    <w:rsid w:val="00A52F33"/>
    <w:rsid w:val="00A5370B"/>
    <w:rsid w:val="00A53B9C"/>
    <w:rsid w:val="00A5418C"/>
    <w:rsid w:val="00A5532F"/>
    <w:rsid w:val="00A559FD"/>
    <w:rsid w:val="00A56526"/>
    <w:rsid w:val="00A609DC"/>
    <w:rsid w:val="00A701F8"/>
    <w:rsid w:val="00A70512"/>
    <w:rsid w:val="00A72278"/>
    <w:rsid w:val="00A72860"/>
    <w:rsid w:val="00A746C1"/>
    <w:rsid w:val="00A74CB1"/>
    <w:rsid w:val="00A76C19"/>
    <w:rsid w:val="00A76C43"/>
    <w:rsid w:val="00A81210"/>
    <w:rsid w:val="00A83399"/>
    <w:rsid w:val="00A833AD"/>
    <w:rsid w:val="00A847C2"/>
    <w:rsid w:val="00A84B66"/>
    <w:rsid w:val="00A84CCE"/>
    <w:rsid w:val="00A84D44"/>
    <w:rsid w:val="00A874EA"/>
    <w:rsid w:val="00A87F85"/>
    <w:rsid w:val="00A929CA"/>
    <w:rsid w:val="00A92C68"/>
    <w:rsid w:val="00A944C7"/>
    <w:rsid w:val="00A9479A"/>
    <w:rsid w:val="00A96354"/>
    <w:rsid w:val="00A97D9E"/>
    <w:rsid w:val="00AA0D32"/>
    <w:rsid w:val="00AA7F55"/>
    <w:rsid w:val="00AB1DD2"/>
    <w:rsid w:val="00AB5270"/>
    <w:rsid w:val="00AB5626"/>
    <w:rsid w:val="00AC0112"/>
    <w:rsid w:val="00AC051F"/>
    <w:rsid w:val="00AC0A24"/>
    <w:rsid w:val="00AC131C"/>
    <w:rsid w:val="00AC1615"/>
    <w:rsid w:val="00AC177C"/>
    <w:rsid w:val="00AC40A6"/>
    <w:rsid w:val="00AC5321"/>
    <w:rsid w:val="00AD02E2"/>
    <w:rsid w:val="00AD0BA5"/>
    <w:rsid w:val="00AD11B3"/>
    <w:rsid w:val="00AD1F80"/>
    <w:rsid w:val="00AD233A"/>
    <w:rsid w:val="00AD3297"/>
    <w:rsid w:val="00AD49AD"/>
    <w:rsid w:val="00AD4F3D"/>
    <w:rsid w:val="00AD577F"/>
    <w:rsid w:val="00AD6101"/>
    <w:rsid w:val="00AE0C19"/>
    <w:rsid w:val="00AE1E78"/>
    <w:rsid w:val="00AE353E"/>
    <w:rsid w:val="00AE38DC"/>
    <w:rsid w:val="00AE3F60"/>
    <w:rsid w:val="00AE6418"/>
    <w:rsid w:val="00AE70F6"/>
    <w:rsid w:val="00AF1598"/>
    <w:rsid w:val="00AF30C7"/>
    <w:rsid w:val="00AF504A"/>
    <w:rsid w:val="00AF5AA7"/>
    <w:rsid w:val="00AF5B63"/>
    <w:rsid w:val="00AF653C"/>
    <w:rsid w:val="00AF7FF4"/>
    <w:rsid w:val="00B01767"/>
    <w:rsid w:val="00B03A9D"/>
    <w:rsid w:val="00B03E62"/>
    <w:rsid w:val="00B0563A"/>
    <w:rsid w:val="00B05A92"/>
    <w:rsid w:val="00B113E6"/>
    <w:rsid w:val="00B11D50"/>
    <w:rsid w:val="00B12C91"/>
    <w:rsid w:val="00B1479F"/>
    <w:rsid w:val="00B14EE7"/>
    <w:rsid w:val="00B17218"/>
    <w:rsid w:val="00B17979"/>
    <w:rsid w:val="00B17EE8"/>
    <w:rsid w:val="00B20FED"/>
    <w:rsid w:val="00B22330"/>
    <w:rsid w:val="00B23E66"/>
    <w:rsid w:val="00B27FD6"/>
    <w:rsid w:val="00B30810"/>
    <w:rsid w:val="00B3131A"/>
    <w:rsid w:val="00B326CF"/>
    <w:rsid w:val="00B32BA3"/>
    <w:rsid w:val="00B33C82"/>
    <w:rsid w:val="00B3408F"/>
    <w:rsid w:val="00B34CF2"/>
    <w:rsid w:val="00B352F0"/>
    <w:rsid w:val="00B35361"/>
    <w:rsid w:val="00B353F2"/>
    <w:rsid w:val="00B36A76"/>
    <w:rsid w:val="00B3727A"/>
    <w:rsid w:val="00B37CA7"/>
    <w:rsid w:val="00B40017"/>
    <w:rsid w:val="00B4226A"/>
    <w:rsid w:val="00B425FC"/>
    <w:rsid w:val="00B43251"/>
    <w:rsid w:val="00B452FC"/>
    <w:rsid w:val="00B45991"/>
    <w:rsid w:val="00B46409"/>
    <w:rsid w:val="00B46696"/>
    <w:rsid w:val="00B46F47"/>
    <w:rsid w:val="00B4713A"/>
    <w:rsid w:val="00B51466"/>
    <w:rsid w:val="00B51697"/>
    <w:rsid w:val="00B52E19"/>
    <w:rsid w:val="00B5674B"/>
    <w:rsid w:val="00B5719D"/>
    <w:rsid w:val="00B57401"/>
    <w:rsid w:val="00B606CC"/>
    <w:rsid w:val="00B621AE"/>
    <w:rsid w:val="00B629AE"/>
    <w:rsid w:val="00B64CEC"/>
    <w:rsid w:val="00B67D2B"/>
    <w:rsid w:val="00B70B3B"/>
    <w:rsid w:val="00B724CE"/>
    <w:rsid w:val="00B73B62"/>
    <w:rsid w:val="00B75006"/>
    <w:rsid w:val="00B751A1"/>
    <w:rsid w:val="00B75C7C"/>
    <w:rsid w:val="00B77AD5"/>
    <w:rsid w:val="00B81596"/>
    <w:rsid w:val="00B8319D"/>
    <w:rsid w:val="00B831F3"/>
    <w:rsid w:val="00B84ADE"/>
    <w:rsid w:val="00B872E4"/>
    <w:rsid w:val="00B90898"/>
    <w:rsid w:val="00B93236"/>
    <w:rsid w:val="00B945FC"/>
    <w:rsid w:val="00B95F86"/>
    <w:rsid w:val="00B9600A"/>
    <w:rsid w:val="00B96148"/>
    <w:rsid w:val="00B971A4"/>
    <w:rsid w:val="00BA0614"/>
    <w:rsid w:val="00BA13A2"/>
    <w:rsid w:val="00BA14DC"/>
    <w:rsid w:val="00BA4262"/>
    <w:rsid w:val="00BA60F3"/>
    <w:rsid w:val="00BA62E4"/>
    <w:rsid w:val="00BA7260"/>
    <w:rsid w:val="00BA7CB1"/>
    <w:rsid w:val="00BB08F0"/>
    <w:rsid w:val="00BB19E1"/>
    <w:rsid w:val="00BB2574"/>
    <w:rsid w:val="00BB3D03"/>
    <w:rsid w:val="00BB5E36"/>
    <w:rsid w:val="00BB5EF9"/>
    <w:rsid w:val="00BB79D1"/>
    <w:rsid w:val="00BC4736"/>
    <w:rsid w:val="00BC6A0F"/>
    <w:rsid w:val="00BC7E79"/>
    <w:rsid w:val="00BD0273"/>
    <w:rsid w:val="00BD09B2"/>
    <w:rsid w:val="00BD0BA9"/>
    <w:rsid w:val="00BD0DC2"/>
    <w:rsid w:val="00BD0EBB"/>
    <w:rsid w:val="00BD107E"/>
    <w:rsid w:val="00BD2BD1"/>
    <w:rsid w:val="00BD4AC7"/>
    <w:rsid w:val="00BD4E95"/>
    <w:rsid w:val="00BD62FD"/>
    <w:rsid w:val="00BE2475"/>
    <w:rsid w:val="00BE25DE"/>
    <w:rsid w:val="00BF1DC2"/>
    <w:rsid w:val="00BF2B32"/>
    <w:rsid w:val="00BF2D2D"/>
    <w:rsid w:val="00BF428C"/>
    <w:rsid w:val="00BF4E05"/>
    <w:rsid w:val="00BF517C"/>
    <w:rsid w:val="00BF784A"/>
    <w:rsid w:val="00BF7E74"/>
    <w:rsid w:val="00BF7FDE"/>
    <w:rsid w:val="00C00724"/>
    <w:rsid w:val="00C00D3B"/>
    <w:rsid w:val="00C02144"/>
    <w:rsid w:val="00C02376"/>
    <w:rsid w:val="00C033D9"/>
    <w:rsid w:val="00C050D8"/>
    <w:rsid w:val="00C06B7B"/>
    <w:rsid w:val="00C10AFB"/>
    <w:rsid w:val="00C13B4F"/>
    <w:rsid w:val="00C154F6"/>
    <w:rsid w:val="00C1573C"/>
    <w:rsid w:val="00C166A1"/>
    <w:rsid w:val="00C1682C"/>
    <w:rsid w:val="00C16B89"/>
    <w:rsid w:val="00C16CE6"/>
    <w:rsid w:val="00C1717A"/>
    <w:rsid w:val="00C17416"/>
    <w:rsid w:val="00C1768A"/>
    <w:rsid w:val="00C176AA"/>
    <w:rsid w:val="00C17AE6"/>
    <w:rsid w:val="00C21890"/>
    <w:rsid w:val="00C31374"/>
    <w:rsid w:val="00C32095"/>
    <w:rsid w:val="00C33790"/>
    <w:rsid w:val="00C343B8"/>
    <w:rsid w:val="00C3574B"/>
    <w:rsid w:val="00C358B6"/>
    <w:rsid w:val="00C35D36"/>
    <w:rsid w:val="00C379E5"/>
    <w:rsid w:val="00C40195"/>
    <w:rsid w:val="00C44CA6"/>
    <w:rsid w:val="00C461CA"/>
    <w:rsid w:val="00C464E6"/>
    <w:rsid w:val="00C50C34"/>
    <w:rsid w:val="00C5194C"/>
    <w:rsid w:val="00C52049"/>
    <w:rsid w:val="00C536A3"/>
    <w:rsid w:val="00C57062"/>
    <w:rsid w:val="00C570ED"/>
    <w:rsid w:val="00C57938"/>
    <w:rsid w:val="00C61E5D"/>
    <w:rsid w:val="00C629B9"/>
    <w:rsid w:val="00C6396E"/>
    <w:rsid w:val="00C63E65"/>
    <w:rsid w:val="00C65B65"/>
    <w:rsid w:val="00C67971"/>
    <w:rsid w:val="00C71A35"/>
    <w:rsid w:val="00C727D4"/>
    <w:rsid w:val="00C74792"/>
    <w:rsid w:val="00C751C4"/>
    <w:rsid w:val="00C76508"/>
    <w:rsid w:val="00C76982"/>
    <w:rsid w:val="00C82CCF"/>
    <w:rsid w:val="00C83B5B"/>
    <w:rsid w:val="00C84248"/>
    <w:rsid w:val="00C84D26"/>
    <w:rsid w:val="00C84D3B"/>
    <w:rsid w:val="00C85100"/>
    <w:rsid w:val="00C87366"/>
    <w:rsid w:val="00C926FC"/>
    <w:rsid w:val="00C945BC"/>
    <w:rsid w:val="00C950B9"/>
    <w:rsid w:val="00C952D3"/>
    <w:rsid w:val="00C959AF"/>
    <w:rsid w:val="00C95E78"/>
    <w:rsid w:val="00CA6356"/>
    <w:rsid w:val="00CA64B0"/>
    <w:rsid w:val="00CA6A46"/>
    <w:rsid w:val="00CA77AE"/>
    <w:rsid w:val="00CA78AD"/>
    <w:rsid w:val="00CB31BE"/>
    <w:rsid w:val="00CB4F61"/>
    <w:rsid w:val="00CB63A6"/>
    <w:rsid w:val="00CC02E5"/>
    <w:rsid w:val="00CC1ACF"/>
    <w:rsid w:val="00CC3206"/>
    <w:rsid w:val="00CC35AC"/>
    <w:rsid w:val="00CC5068"/>
    <w:rsid w:val="00CC607B"/>
    <w:rsid w:val="00CD0095"/>
    <w:rsid w:val="00CD0DD4"/>
    <w:rsid w:val="00CD28D6"/>
    <w:rsid w:val="00CD2B43"/>
    <w:rsid w:val="00CD346D"/>
    <w:rsid w:val="00CD43BB"/>
    <w:rsid w:val="00CD5CCA"/>
    <w:rsid w:val="00CD721B"/>
    <w:rsid w:val="00CD727B"/>
    <w:rsid w:val="00CD73F0"/>
    <w:rsid w:val="00CD743D"/>
    <w:rsid w:val="00CD798D"/>
    <w:rsid w:val="00CD7D2F"/>
    <w:rsid w:val="00CE14DA"/>
    <w:rsid w:val="00CE4D05"/>
    <w:rsid w:val="00CE5A5E"/>
    <w:rsid w:val="00CE5B0C"/>
    <w:rsid w:val="00CE6789"/>
    <w:rsid w:val="00CE7C01"/>
    <w:rsid w:val="00CE7F13"/>
    <w:rsid w:val="00CF2AA1"/>
    <w:rsid w:val="00CF3029"/>
    <w:rsid w:val="00CF3782"/>
    <w:rsid w:val="00CF39BF"/>
    <w:rsid w:val="00D0017F"/>
    <w:rsid w:val="00D00936"/>
    <w:rsid w:val="00D06CD8"/>
    <w:rsid w:val="00D138F9"/>
    <w:rsid w:val="00D14BD5"/>
    <w:rsid w:val="00D1618D"/>
    <w:rsid w:val="00D16E42"/>
    <w:rsid w:val="00D1765F"/>
    <w:rsid w:val="00D20D3C"/>
    <w:rsid w:val="00D21986"/>
    <w:rsid w:val="00D227D7"/>
    <w:rsid w:val="00D2330F"/>
    <w:rsid w:val="00D24696"/>
    <w:rsid w:val="00D25BCF"/>
    <w:rsid w:val="00D27901"/>
    <w:rsid w:val="00D30126"/>
    <w:rsid w:val="00D3025F"/>
    <w:rsid w:val="00D30291"/>
    <w:rsid w:val="00D30A2C"/>
    <w:rsid w:val="00D30DF0"/>
    <w:rsid w:val="00D310D2"/>
    <w:rsid w:val="00D3147D"/>
    <w:rsid w:val="00D324A7"/>
    <w:rsid w:val="00D33D3D"/>
    <w:rsid w:val="00D359CC"/>
    <w:rsid w:val="00D3641C"/>
    <w:rsid w:val="00D37234"/>
    <w:rsid w:val="00D37823"/>
    <w:rsid w:val="00D4185F"/>
    <w:rsid w:val="00D427B1"/>
    <w:rsid w:val="00D43210"/>
    <w:rsid w:val="00D455C3"/>
    <w:rsid w:val="00D45D33"/>
    <w:rsid w:val="00D4701D"/>
    <w:rsid w:val="00D47E1C"/>
    <w:rsid w:val="00D47F4B"/>
    <w:rsid w:val="00D51FA9"/>
    <w:rsid w:val="00D57D15"/>
    <w:rsid w:val="00D620DE"/>
    <w:rsid w:val="00D6316E"/>
    <w:rsid w:val="00D63BC3"/>
    <w:rsid w:val="00D63CAF"/>
    <w:rsid w:val="00D672FC"/>
    <w:rsid w:val="00D70A63"/>
    <w:rsid w:val="00D717A1"/>
    <w:rsid w:val="00D71B84"/>
    <w:rsid w:val="00D73FBE"/>
    <w:rsid w:val="00D74680"/>
    <w:rsid w:val="00D746BA"/>
    <w:rsid w:val="00D76A18"/>
    <w:rsid w:val="00D77384"/>
    <w:rsid w:val="00D77D6F"/>
    <w:rsid w:val="00D81545"/>
    <w:rsid w:val="00D82B96"/>
    <w:rsid w:val="00D82F38"/>
    <w:rsid w:val="00D84C0C"/>
    <w:rsid w:val="00D87272"/>
    <w:rsid w:val="00D87C9C"/>
    <w:rsid w:val="00D91435"/>
    <w:rsid w:val="00D91C83"/>
    <w:rsid w:val="00D935FD"/>
    <w:rsid w:val="00D948C3"/>
    <w:rsid w:val="00D9772F"/>
    <w:rsid w:val="00DA0308"/>
    <w:rsid w:val="00DA06B0"/>
    <w:rsid w:val="00DA0E1D"/>
    <w:rsid w:val="00DA21B4"/>
    <w:rsid w:val="00DA43C4"/>
    <w:rsid w:val="00DA499E"/>
    <w:rsid w:val="00DA5D2C"/>
    <w:rsid w:val="00DA63E0"/>
    <w:rsid w:val="00DA70CA"/>
    <w:rsid w:val="00DB0379"/>
    <w:rsid w:val="00DB4ED0"/>
    <w:rsid w:val="00DC1A9C"/>
    <w:rsid w:val="00DC2A62"/>
    <w:rsid w:val="00DC2B0B"/>
    <w:rsid w:val="00DC585F"/>
    <w:rsid w:val="00DC71C4"/>
    <w:rsid w:val="00DD0DF7"/>
    <w:rsid w:val="00DD1369"/>
    <w:rsid w:val="00DD228B"/>
    <w:rsid w:val="00DD2FF1"/>
    <w:rsid w:val="00DD3D28"/>
    <w:rsid w:val="00DD5B25"/>
    <w:rsid w:val="00DD5E8B"/>
    <w:rsid w:val="00DD6FA0"/>
    <w:rsid w:val="00DE3043"/>
    <w:rsid w:val="00DE3CAA"/>
    <w:rsid w:val="00DE3FBD"/>
    <w:rsid w:val="00DE4D08"/>
    <w:rsid w:val="00DE5AA2"/>
    <w:rsid w:val="00DF03E7"/>
    <w:rsid w:val="00DF13BA"/>
    <w:rsid w:val="00DF20F7"/>
    <w:rsid w:val="00DF3470"/>
    <w:rsid w:val="00DF34AD"/>
    <w:rsid w:val="00DF4809"/>
    <w:rsid w:val="00E0067D"/>
    <w:rsid w:val="00E008FE"/>
    <w:rsid w:val="00E0102D"/>
    <w:rsid w:val="00E0153A"/>
    <w:rsid w:val="00E03982"/>
    <w:rsid w:val="00E0425F"/>
    <w:rsid w:val="00E062D8"/>
    <w:rsid w:val="00E0767E"/>
    <w:rsid w:val="00E11B2D"/>
    <w:rsid w:val="00E1216D"/>
    <w:rsid w:val="00E12346"/>
    <w:rsid w:val="00E20ED4"/>
    <w:rsid w:val="00E22A05"/>
    <w:rsid w:val="00E248CA"/>
    <w:rsid w:val="00E271B0"/>
    <w:rsid w:val="00E313EF"/>
    <w:rsid w:val="00E31EE6"/>
    <w:rsid w:val="00E32195"/>
    <w:rsid w:val="00E3336F"/>
    <w:rsid w:val="00E33973"/>
    <w:rsid w:val="00E36A91"/>
    <w:rsid w:val="00E42769"/>
    <w:rsid w:val="00E431F1"/>
    <w:rsid w:val="00E45C54"/>
    <w:rsid w:val="00E45C79"/>
    <w:rsid w:val="00E4664E"/>
    <w:rsid w:val="00E47072"/>
    <w:rsid w:val="00E478AD"/>
    <w:rsid w:val="00E509A8"/>
    <w:rsid w:val="00E51D4A"/>
    <w:rsid w:val="00E537DE"/>
    <w:rsid w:val="00E62259"/>
    <w:rsid w:val="00E65B3E"/>
    <w:rsid w:val="00E67FB4"/>
    <w:rsid w:val="00E72291"/>
    <w:rsid w:val="00E73364"/>
    <w:rsid w:val="00E75015"/>
    <w:rsid w:val="00E771EC"/>
    <w:rsid w:val="00E801F2"/>
    <w:rsid w:val="00E82610"/>
    <w:rsid w:val="00E83CB6"/>
    <w:rsid w:val="00E851D6"/>
    <w:rsid w:val="00E860A3"/>
    <w:rsid w:val="00E91F10"/>
    <w:rsid w:val="00EA05B1"/>
    <w:rsid w:val="00EA0AF5"/>
    <w:rsid w:val="00EA1F87"/>
    <w:rsid w:val="00EA3E5E"/>
    <w:rsid w:val="00EA6A6D"/>
    <w:rsid w:val="00EB1069"/>
    <w:rsid w:val="00EB3A3A"/>
    <w:rsid w:val="00EB4F78"/>
    <w:rsid w:val="00EB7580"/>
    <w:rsid w:val="00EB7592"/>
    <w:rsid w:val="00EC06E6"/>
    <w:rsid w:val="00EC3780"/>
    <w:rsid w:val="00EC4729"/>
    <w:rsid w:val="00EC51E0"/>
    <w:rsid w:val="00EC7007"/>
    <w:rsid w:val="00ED3BD9"/>
    <w:rsid w:val="00ED42CA"/>
    <w:rsid w:val="00ED64A8"/>
    <w:rsid w:val="00ED6785"/>
    <w:rsid w:val="00ED7ADC"/>
    <w:rsid w:val="00EE003F"/>
    <w:rsid w:val="00EE1579"/>
    <w:rsid w:val="00EE1A4C"/>
    <w:rsid w:val="00EE23B0"/>
    <w:rsid w:val="00EE3181"/>
    <w:rsid w:val="00EE40D9"/>
    <w:rsid w:val="00EE51B2"/>
    <w:rsid w:val="00EE6EFD"/>
    <w:rsid w:val="00EE7995"/>
    <w:rsid w:val="00EF0A49"/>
    <w:rsid w:val="00EF1D0C"/>
    <w:rsid w:val="00EF1EDB"/>
    <w:rsid w:val="00EF24A1"/>
    <w:rsid w:val="00EF2B7F"/>
    <w:rsid w:val="00EF31E6"/>
    <w:rsid w:val="00EF3392"/>
    <w:rsid w:val="00EF38C4"/>
    <w:rsid w:val="00EF57B4"/>
    <w:rsid w:val="00EF7F7C"/>
    <w:rsid w:val="00F003DB"/>
    <w:rsid w:val="00F02507"/>
    <w:rsid w:val="00F07F7B"/>
    <w:rsid w:val="00F10785"/>
    <w:rsid w:val="00F10969"/>
    <w:rsid w:val="00F114D2"/>
    <w:rsid w:val="00F117C9"/>
    <w:rsid w:val="00F12E48"/>
    <w:rsid w:val="00F13419"/>
    <w:rsid w:val="00F1344F"/>
    <w:rsid w:val="00F146A2"/>
    <w:rsid w:val="00F14DFC"/>
    <w:rsid w:val="00F15A46"/>
    <w:rsid w:val="00F15A94"/>
    <w:rsid w:val="00F16295"/>
    <w:rsid w:val="00F16585"/>
    <w:rsid w:val="00F2049F"/>
    <w:rsid w:val="00F2202B"/>
    <w:rsid w:val="00F22F30"/>
    <w:rsid w:val="00F235EA"/>
    <w:rsid w:val="00F24E27"/>
    <w:rsid w:val="00F260A7"/>
    <w:rsid w:val="00F268B9"/>
    <w:rsid w:val="00F26ED1"/>
    <w:rsid w:val="00F274A2"/>
    <w:rsid w:val="00F2771C"/>
    <w:rsid w:val="00F30DEC"/>
    <w:rsid w:val="00F319D2"/>
    <w:rsid w:val="00F31DD3"/>
    <w:rsid w:val="00F3252A"/>
    <w:rsid w:val="00F32D93"/>
    <w:rsid w:val="00F33408"/>
    <w:rsid w:val="00F347A7"/>
    <w:rsid w:val="00F36246"/>
    <w:rsid w:val="00F37BE7"/>
    <w:rsid w:val="00F40129"/>
    <w:rsid w:val="00F41BAF"/>
    <w:rsid w:val="00F431ED"/>
    <w:rsid w:val="00F43AAC"/>
    <w:rsid w:val="00F51E86"/>
    <w:rsid w:val="00F53FDC"/>
    <w:rsid w:val="00F5557D"/>
    <w:rsid w:val="00F57245"/>
    <w:rsid w:val="00F60A3E"/>
    <w:rsid w:val="00F642CB"/>
    <w:rsid w:val="00F65348"/>
    <w:rsid w:val="00F65F2B"/>
    <w:rsid w:val="00F66292"/>
    <w:rsid w:val="00F6638A"/>
    <w:rsid w:val="00F72633"/>
    <w:rsid w:val="00F72DDD"/>
    <w:rsid w:val="00F7455A"/>
    <w:rsid w:val="00F74B5B"/>
    <w:rsid w:val="00F75229"/>
    <w:rsid w:val="00F7566E"/>
    <w:rsid w:val="00F7624F"/>
    <w:rsid w:val="00F81EE2"/>
    <w:rsid w:val="00F83A59"/>
    <w:rsid w:val="00F85CE7"/>
    <w:rsid w:val="00F90181"/>
    <w:rsid w:val="00F93927"/>
    <w:rsid w:val="00F94743"/>
    <w:rsid w:val="00F975B7"/>
    <w:rsid w:val="00F97B16"/>
    <w:rsid w:val="00F97D44"/>
    <w:rsid w:val="00FA03F2"/>
    <w:rsid w:val="00FA1C5D"/>
    <w:rsid w:val="00FA241C"/>
    <w:rsid w:val="00FA2D12"/>
    <w:rsid w:val="00FA3E32"/>
    <w:rsid w:val="00FA4D26"/>
    <w:rsid w:val="00FB0357"/>
    <w:rsid w:val="00FB1B8C"/>
    <w:rsid w:val="00FB2048"/>
    <w:rsid w:val="00FB2DAA"/>
    <w:rsid w:val="00FB3C39"/>
    <w:rsid w:val="00FB4552"/>
    <w:rsid w:val="00FB6BD0"/>
    <w:rsid w:val="00FB6F14"/>
    <w:rsid w:val="00FC11AA"/>
    <w:rsid w:val="00FC2998"/>
    <w:rsid w:val="00FC343C"/>
    <w:rsid w:val="00FC439A"/>
    <w:rsid w:val="00FC662E"/>
    <w:rsid w:val="00FD1433"/>
    <w:rsid w:val="00FD1801"/>
    <w:rsid w:val="00FD1B9C"/>
    <w:rsid w:val="00FD2E3E"/>
    <w:rsid w:val="00FD34E3"/>
    <w:rsid w:val="00FD3A9A"/>
    <w:rsid w:val="00FD45AB"/>
    <w:rsid w:val="00FD5B82"/>
    <w:rsid w:val="00FD6BB8"/>
    <w:rsid w:val="00FE0977"/>
    <w:rsid w:val="00FE0BEF"/>
    <w:rsid w:val="00FE1770"/>
    <w:rsid w:val="00FE2615"/>
    <w:rsid w:val="00FE37C9"/>
    <w:rsid w:val="00FE3BBF"/>
    <w:rsid w:val="00FE6031"/>
    <w:rsid w:val="00FE60A7"/>
    <w:rsid w:val="00FE772E"/>
    <w:rsid w:val="00FF06A6"/>
    <w:rsid w:val="00FF0BFA"/>
    <w:rsid w:val="00FF2445"/>
    <w:rsid w:val="00FF4542"/>
    <w:rsid w:val="00FF4C1E"/>
    <w:rsid w:val="00FF51BF"/>
    <w:rsid w:val="00FF591B"/>
    <w:rsid w:val="00FF5B92"/>
    <w:rsid w:val="00FF70E7"/>
    <w:rsid w:val="00FF7358"/>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2502"/>
  <w15:chartTrackingRefBased/>
  <w15:docId w15:val="{8805DD04-6AA3-8B41-A815-C347ECBE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BED"/>
    <w:pPr>
      <w:spacing w:line="276" w:lineRule="auto"/>
    </w:pPr>
    <w:rPr>
      <w:sz w:val="22"/>
      <w:lang w:val="en-GB"/>
    </w:rPr>
  </w:style>
  <w:style w:type="paragraph" w:styleId="Heading1">
    <w:name w:val="heading 1"/>
    <w:basedOn w:val="Normal"/>
    <w:next w:val="Normal"/>
    <w:link w:val="Heading1Char"/>
    <w:uiPriority w:val="9"/>
    <w:qFormat/>
    <w:rsid w:val="00551135"/>
    <w:pPr>
      <w:keepNext/>
      <w:keepLines/>
      <w:numPr>
        <w:numId w:val="1"/>
      </w:numPr>
      <w:outlineLvl w:val="0"/>
    </w:pPr>
    <w:rPr>
      <w:rFonts w:eastAsiaTheme="majorEastAsia" w:cstheme="minorHAnsi"/>
      <w:b/>
      <w:color w:val="009051"/>
      <w:sz w:val="28"/>
      <w:szCs w:val="28"/>
    </w:rPr>
  </w:style>
  <w:style w:type="paragraph" w:styleId="Heading2">
    <w:name w:val="heading 2"/>
    <w:basedOn w:val="Normal"/>
    <w:next w:val="Normal"/>
    <w:link w:val="Heading2Char"/>
    <w:uiPriority w:val="9"/>
    <w:unhideWhenUsed/>
    <w:qFormat/>
    <w:rsid w:val="00551135"/>
    <w:pPr>
      <w:keepNext/>
      <w:keepLines/>
      <w:numPr>
        <w:ilvl w:val="1"/>
        <w:numId w:val="1"/>
      </w:numPr>
      <w:spacing w:before="40"/>
      <w:outlineLvl w:val="1"/>
    </w:pPr>
    <w:rPr>
      <w:rFonts w:eastAsiaTheme="majorEastAsia" w:cstheme="minorHAnsi"/>
      <w:b/>
      <w:color w:val="009051"/>
      <w:sz w:val="24"/>
    </w:rPr>
  </w:style>
  <w:style w:type="paragraph" w:styleId="Heading3">
    <w:name w:val="heading 3"/>
    <w:basedOn w:val="Heading2"/>
    <w:next w:val="Normal"/>
    <w:link w:val="Heading3Char"/>
    <w:uiPriority w:val="9"/>
    <w:unhideWhenUsed/>
    <w:qFormat/>
    <w:rsid w:val="008C5F31"/>
    <w:pPr>
      <w:numPr>
        <w:ilvl w:val="2"/>
      </w:numPr>
      <w:spacing w:before="0"/>
      <w:outlineLvl w:val="2"/>
    </w:pPr>
    <w:rPr>
      <w:rFonts w:cstheme="majorBidi"/>
      <w:b w:val="0"/>
      <w:sz w:val="22"/>
    </w:rPr>
  </w:style>
  <w:style w:type="paragraph" w:styleId="Heading4">
    <w:name w:val="heading 4"/>
    <w:basedOn w:val="Normal"/>
    <w:next w:val="Normal"/>
    <w:link w:val="Heading4Char"/>
    <w:uiPriority w:val="9"/>
    <w:unhideWhenUsed/>
    <w:qFormat/>
    <w:rsid w:val="007E64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33"/>
    <w:rPr>
      <w:color w:val="0563C1" w:themeColor="hyperlink"/>
      <w:u w:val="single"/>
    </w:rPr>
  </w:style>
  <w:style w:type="character" w:styleId="FollowedHyperlink">
    <w:name w:val="FollowedHyperlink"/>
    <w:basedOn w:val="DefaultParagraphFont"/>
    <w:uiPriority w:val="99"/>
    <w:semiHidden/>
    <w:unhideWhenUsed/>
    <w:rsid w:val="00A52F33"/>
    <w:rPr>
      <w:color w:val="954F72" w:themeColor="followedHyperlink"/>
      <w:u w:val="single"/>
    </w:rPr>
  </w:style>
  <w:style w:type="table" w:styleId="TableGrid">
    <w:name w:val="Table Grid"/>
    <w:basedOn w:val="TableNormal"/>
    <w:uiPriority w:val="59"/>
    <w:rsid w:val="00A52F33"/>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st level - Bullet List Paragraph,List Paragraph1,Lettre d'introduction,Paragrafo elenco,Resume Title,Bullet list,C-Change,Indent Paragraph"/>
    <w:basedOn w:val="Normal"/>
    <w:link w:val="ListParagraphChar"/>
    <w:uiPriority w:val="34"/>
    <w:qFormat/>
    <w:rsid w:val="00A52F33"/>
    <w:pPr>
      <w:ind w:left="720"/>
      <w:contextualSpacing/>
    </w:pPr>
  </w:style>
  <w:style w:type="character" w:customStyle="1" w:styleId="Heading1Char">
    <w:name w:val="Heading 1 Char"/>
    <w:basedOn w:val="DefaultParagraphFont"/>
    <w:link w:val="Heading1"/>
    <w:uiPriority w:val="9"/>
    <w:rsid w:val="00935E95"/>
    <w:rPr>
      <w:rFonts w:eastAsiaTheme="majorEastAsia" w:cstheme="minorHAnsi"/>
      <w:b/>
      <w:color w:val="009051"/>
      <w:sz w:val="28"/>
      <w:szCs w:val="28"/>
      <w:lang w:val="en-GB"/>
    </w:rPr>
  </w:style>
  <w:style w:type="character" w:customStyle="1" w:styleId="Heading2Char">
    <w:name w:val="Heading 2 Char"/>
    <w:basedOn w:val="DefaultParagraphFont"/>
    <w:link w:val="Heading2"/>
    <w:uiPriority w:val="9"/>
    <w:rsid w:val="00935E95"/>
    <w:rPr>
      <w:rFonts w:eastAsiaTheme="majorEastAsia" w:cstheme="minorHAnsi"/>
      <w:b/>
      <w:color w:val="009051"/>
      <w:lang w:val="en-GB"/>
    </w:rPr>
  </w:style>
  <w:style w:type="character" w:customStyle="1" w:styleId="Heading3Char">
    <w:name w:val="Heading 3 Char"/>
    <w:basedOn w:val="DefaultParagraphFont"/>
    <w:link w:val="Heading3"/>
    <w:uiPriority w:val="9"/>
    <w:rsid w:val="008C5F31"/>
    <w:rPr>
      <w:rFonts w:eastAsiaTheme="majorEastAsia" w:cstheme="majorBidi"/>
      <w:color w:val="009051"/>
      <w:sz w:val="22"/>
      <w:lang w:val="en-GB"/>
    </w:rPr>
  </w:style>
  <w:style w:type="paragraph" w:styleId="Caption">
    <w:name w:val="caption"/>
    <w:basedOn w:val="Normal"/>
    <w:next w:val="Normal"/>
    <w:uiPriority w:val="35"/>
    <w:unhideWhenUsed/>
    <w:qFormat/>
    <w:rsid w:val="0056338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74B5B"/>
    <w:rPr>
      <w:sz w:val="16"/>
      <w:szCs w:val="16"/>
    </w:rPr>
  </w:style>
  <w:style w:type="paragraph" w:styleId="CommentText">
    <w:name w:val="annotation text"/>
    <w:basedOn w:val="Normal"/>
    <w:link w:val="CommentTextChar"/>
    <w:uiPriority w:val="99"/>
    <w:unhideWhenUsed/>
    <w:rsid w:val="00F74B5B"/>
    <w:pPr>
      <w:spacing w:line="240" w:lineRule="auto"/>
    </w:pPr>
    <w:rPr>
      <w:sz w:val="20"/>
      <w:szCs w:val="20"/>
    </w:rPr>
  </w:style>
  <w:style w:type="character" w:customStyle="1" w:styleId="CommentTextChar">
    <w:name w:val="Comment Text Char"/>
    <w:basedOn w:val="DefaultParagraphFont"/>
    <w:link w:val="CommentText"/>
    <w:uiPriority w:val="99"/>
    <w:rsid w:val="00F74B5B"/>
    <w:rPr>
      <w:sz w:val="20"/>
      <w:szCs w:val="20"/>
      <w:lang w:val="en-GB"/>
    </w:rPr>
  </w:style>
  <w:style w:type="paragraph" w:styleId="CommentSubject">
    <w:name w:val="annotation subject"/>
    <w:basedOn w:val="CommentText"/>
    <w:next w:val="CommentText"/>
    <w:link w:val="CommentSubjectChar"/>
    <w:uiPriority w:val="99"/>
    <w:semiHidden/>
    <w:unhideWhenUsed/>
    <w:rsid w:val="00F74B5B"/>
    <w:rPr>
      <w:b/>
      <w:bCs/>
    </w:rPr>
  </w:style>
  <w:style w:type="character" w:customStyle="1" w:styleId="CommentSubjectChar">
    <w:name w:val="Comment Subject Char"/>
    <w:basedOn w:val="CommentTextChar"/>
    <w:link w:val="CommentSubject"/>
    <w:uiPriority w:val="99"/>
    <w:semiHidden/>
    <w:rsid w:val="00F74B5B"/>
    <w:rPr>
      <w:b/>
      <w:bCs/>
      <w:sz w:val="20"/>
      <w:szCs w:val="20"/>
      <w:lang w:val="en-GB"/>
    </w:rPr>
  </w:style>
  <w:style w:type="paragraph" w:styleId="BalloonText">
    <w:name w:val="Balloon Text"/>
    <w:basedOn w:val="Normal"/>
    <w:link w:val="BalloonTextChar"/>
    <w:uiPriority w:val="99"/>
    <w:semiHidden/>
    <w:unhideWhenUsed/>
    <w:rsid w:val="00F74B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B5B"/>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893380"/>
    <w:pPr>
      <w:spacing w:line="240" w:lineRule="auto"/>
    </w:pPr>
    <w:rPr>
      <w:rFonts w:eastAsia="Calibri" w:cs="Arial"/>
      <w:sz w:val="20"/>
      <w:szCs w:val="20"/>
      <w:lang w:val="en-ZA"/>
    </w:rPr>
  </w:style>
  <w:style w:type="character" w:customStyle="1" w:styleId="FootnoteTextChar">
    <w:name w:val="Footnote Text Char"/>
    <w:basedOn w:val="DefaultParagraphFont"/>
    <w:link w:val="FootnoteText"/>
    <w:uiPriority w:val="99"/>
    <w:rsid w:val="00893380"/>
    <w:rPr>
      <w:rFonts w:eastAsia="Calibri" w:cs="Arial"/>
      <w:sz w:val="20"/>
      <w:szCs w:val="20"/>
      <w:lang w:val="en-ZA"/>
    </w:rPr>
  </w:style>
  <w:style w:type="character" w:styleId="FootnoteReference">
    <w:name w:val="footnote reference"/>
    <w:basedOn w:val="DefaultParagraphFont"/>
    <w:uiPriority w:val="99"/>
    <w:semiHidden/>
    <w:unhideWhenUsed/>
    <w:rsid w:val="00893380"/>
    <w:rPr>
      <w:vertAlign w:val="superscript"/>
    </w:rPr>
  </w:style>
  <w:style w:type="paragraph" w:styleId="NoSpacing">
    <w:name w:val="No Spacing"/>
    <w:link w:val="NoSpacingChar"/>
    <w:uiPriority w:val="1"/>
    <w:qFormat/>
    <w:rsid w:val="00F347A7"/>
    <w:rPr>
      <w:rFonts w:ascii="Calibri" w:eastAsia="Calibri" w:hAnsi="Calibri" w:cs="Arial"/>
      <w:sz w:val="20"/>
      <w:szCs w:val="20"/>
    </w:rPr>
  </w:style>
  <w:style w:type="paragraph" w:styleId="TOC1">
    <w:name w:val="toc 1"/>
    <w:basedOn w:val="Normal"/>
    <w:next w:val="Normal"/>
    <w:autoRedefine/>
    <w:uiPriority w:val="39"/>
    <w:unhideWhenUsed/>
    <w:rsid w:val="006D5AA5"/>
    <w:pPr>
      <w:spacing w:after="100"/>
    </w:pPr>
    <w:rPr>
      <w:b/>
    </w:rPr>
  </w:style>
  <w:style w:type="paragraph" w:styleId="TOC2">
    <w:name w:val="toc 2"/>
    <w:basedOn w:val="Normal"/>
    <w:next w:val="Normal"/>
    <w:autoRedefine/>
    <w:uiPriority w:val="39"/>
    <w:unhideWhenUsed/>
    <w:rsid w:val="00AD49AD"/>
    <w:pPr>
      <w:tabs>
        <w:tab w:val="right" w:leader="dot" w:pos="9350"/>
      </w:tabs>
      <w:ind w:left="720"/>
    </w:pPr>
  </w:style>
  <w:style w:type="paragraph" w:styleId="Header">
    <w:name w:val="header"/>
    <w:basedOn w:val="Normal"/>
    <w:link w:val="HeaderChar"/>
    <w:uiPriority w:val="99"/>
    <w:unhideWhenUsed/>
    <w:rsid w:val="006970B4"/>
    <w:pPr>
      <w:tabs>
        <w:tab w:val="center" w:pos="4680"/>
        <w:tab w:val="right" w:pos="9360"/>
      </w:tabs>
      <w:spacing w:line="240" w:lineRule="auto"/>
    </w:pPr>
  </w:style>
  <w:style w:type="character" w:customStyle="1" w:styleId="HeaderChar">
    <w:name w:val="Header Char"/>
    <w:basedOn w:val="DefaultParagraphFont"/>
    <w:link w:val="Header"/>
    <w:uiPriority w:val="99"/>
    <w:rsid w:val="006970B4"/>
    <w:rPr>
      <w:sz w:val="22"/>
      <w:lang w:val="en-GB"/>
    </w:rPr>
  </w:style>
  <w:style w:type="paragraph" w:styleId="Footer">
    <w:name w:val="footer"/>
    <w:basedOn w:val="Normal"/>
    <w:link w:val="FooterChar"/>
    <w:uiPriority w:val="99"/>
    <w:unhideWhenUsed/>
    <w:rsid w:val="006970B4"/>
    <w:pPr>
      <w:tabs>
        <w:tab w:val="center" w:pos="4680"/>
        <w:tab w:val="right" w:pos="9360"/>
      </w:tabs>
      <w:spacing w:line="240" w:lineRule="auto"/>
    </w:pPr>
  </w:style>
  <w:style w:type="character" w:customStyle="1" w:styleId="FooterChar">
    <w:name w:val="Footer Char"/>
    <w:basedOn w:val="DefaultParagraphFont"/>
    <w:link w:val="Footer"/>
    <w:uiPriority w:val="99"/>
    <w:rsid w:val="006970B4"/>
    <w:rPr>
      <w:sz w:val="22"/>
      <w:lang w:val="en-GB"/>
    </w:rPr>
  </w:style>
  <w:style w:type="character" w:styleId="PageNumber">
    <w:name w:val="page number"/>
    <w:basedOn w:val="DefaultParagraphFont"/>
    <w:uiPriority w:val="99"/>
    <w:semiHidden/>
    <w:unhideWhenUsed/>
    <w:rsid w:val="006970B4"/>
  </w:style>
  <w:style w:type="table" w:styleId="GridTable5Dark-Accent6">
    <w:name w:val="Grid Table 5 Dark Accent 6"/>
    <w:basedOn w:val="TableNormal"/>
    <w:uiPriority w:val="50"/>
    <w:rsid w:val="001525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5257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1525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7E6490"/>
    <w:rPr>
      <w:rFonts w:asciiTheme="majorHAnsi" w:eastAsiaTheme="majorEastAsia" w:hAnsiTheme="majorHAnsi" w:cstheme="majorBidi"/>
      <w:i/>
      <w:iCs/>
      <w:color w:val="2F5496" w:themeColor="accent1" w:themeShade="BF"/>
      <w:sz w:val="22"/>
      <w:lang w:val="en-GB"/>
    </w:rPr>
  </w:style>
  <w:style w:type="table" w:styleId="ListTable6Colorful-Accent3">
    <w:name w:val="List Table 6 Colorful Accent 3"/>
    <w:basedOn w:val="TableNormal"/>
    <w:uiPriority w:val="51"/>
    <w:rsid w:val="00127F2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127F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127F2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127F2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link w:val="NormalWebChar"/>
    <w:uiPriority w:val="99"/>
    <w:unhideWhenUsed/>
    <w:rsid w:val="00294341"/>
    <w:pPr>
      <w:spacing w:before="100" w:beforeAutospacing="1" w:after="100" w:afterAutospacing="1" w:line="240" w:lineRule="auto"/>
    </w:pPr>
    <w:rPr>
      <w:rFonts w:ascii="Times New Roman" w:eastAsia="Times New Roman" w:hAnsi="Times New Roman" w:cs="Times New Roman"/>
      <w:sz w:val="24"/>
      <w:lang w:val="en-US"/>
    </w:rPr>
  </w:style>
  <w:style w:type="character" w:styleId="Strong">
    <w:name w:val="Strong"/>
    <w:basedOn w:val="DefaultParagraphFont"/>
    <w:uiPriority w:val="22"/>
    <w:qFormat/>
    <w:rsid w:val="00294341"/>
    <w:rPr>
      <w:b/>
      <w:bCs/>
    </w:rPr>
  </w:style>
  <w:style w:type="character" w:styleId="Emphasis">
    <w:name w:val="Emphasis"/>
    <w:basedOn w:val="DefaultParagraphFont"/>
    <w:uiPriority w:val="20"/>
    <w:qFormat/>
    <w:rsid w:val="00294341"/>
    <w:rPr>
      <w:i/>
      <w:iCs/>
    </w:rPr>
  </w:style>
  <w:style w:type="character" w:customStyle="1" w:styleId="UnresolvedMention">
    <w:name w:val="Unresolved Mention"/>
    <w:basedOn w:val="DefaultParagraphFont"/>
    <w:uiPriority w:val="99"/>
    <w:rsid w:val="00334603"/>
    <w:rPr>
      <w:color w:val="605E5C"/>
      <w:shd w:val="clear" w:color="auto" w:fill="E1DFDD"/>
    </w:rPr>
  </w:style>
  <w:style w:type="character" w:customStyle="1" w:styleId="A1">
    <w:name w:val="A1"/>
    <w:uiPriority w:val="99"/>
    <w:rsid w:val="00CE4D05"/>
    <w:rPr>
      <w:rFonts w:cs="Adobe Text Pro"/>
      <w:color w:val="000000"/>
      <w:sz w:val="12"/>
      <w:szCs w:val="12"/>
    </w:rPr>
  </w:style>
  <w:style w:type="paragraph" w:customStyle="1" w:styleId="Default">
    <w:name w:val="Default"/>
    <w:rsid w:val="00B5674B"/>
    <w:pPr>
      <w:autoSpaceDE w:val="0"/>
      <w:autoSpaceDN w:val="0"/>
      <w:adjustRightInd w:val="0"/>
    </w:pPr>
    <w:rPr>
      <w:rFonts w:ascii="Arial" w:hAnsi="Arial" w:cs="Arial"/>
      <w:color w:val="000000"/>
      <w:lang w:val="en-GB"/>
    </w:rPr>
  </w:style>
  <w:style w:type="character" w:customStyle="1" w:styleId="apple-converted-space">
    <w:name w:val="apple-converted-space"/>
    <w:basedOn w:val="DefaultParagraphFont"/>
    <w:rsid w:val="00876F35"/>
  </w:style>
  <w:style w:type="paragraph" w:customStyle="1" w:styleId="Pa4">
    <w:name w:val="Pa4"/>
    <w:basedOn w:val="Normal"/>
    <w:next w:val="Normal"/>
    <w:uiPriority w:val="99"/>
    <w:rsid w:val="00FC11AA"/>
    <w:pPr>
      <w:autoSpaceDE w:val="0"/>
      <w:autoSpaceDN w:val="0"/>
      <w:adjustRightInd w:val="0"/>
      <w:spacing w:line="221" w:lineRule="atLeast"/>
    </w:pPr>
    <w:rPr>
      <w:rFonts w:ascii="Omnes" w:eastAsiaTheme="minorEastAsia" w:hAnsi="Omnes"/>
      <w:sz w:val="24"/>
      <w:lang w:val="en-ZA" w:eastAsia="en-ZA"/>
    </w:rPr>
  </w:style>
  <w:style w:type="paragraph" w:customStyle="1" w:styleId="Pa9">
    <w:name w:val="Pa9"/>
    <w:basedOn w:val="Default"/>
    <w:next w:val="Default"/>
    <w:uiPriority w:val="99"/>
    <w:rsid w:val="00FC11AA"/>
    <w:pPr>
      <w:spacing w:line="321" w:lineRule="atLeast"/>
    </w:pPr>
    <w:rPr>
      <w:color w:val="auto"/>
      <w:lang w:val="en-ZA"/>
    </w:rPr>
  </w:style>
  <w:style w:type="table" w:styleId="PlainTable4">
    <w:name w:val="Plain Table 4"/>
    <w:basedOn w:val="TableNormal"/>
    <w:uiPriority w:val="44"/>
    <w:rsid w:val="006509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D3147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E248CA"/>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248CA"/>
    <w:rPr>
      <w:rFonts w:ascii="Calibri" w:hAnsi="Calibri" w:cs="Calibri"/>
      <w:sz w:val="22"/>
    </w:rPr>
  </w:style>
  <w:style w:type="paragraph" w:customStyle="1" w:styleId="EndNoteBibliography">
    <w:name w:val="EndNote Bibliography"/>
    <w:basedOn w:val="Normal"/>
    <w:link w:val="EndNoteBibliographyChar"/>
    <w:rsid w:val="00E248CA"/>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E248CA"/>
    <w:rPr>
      <w:rFonts w:ascii="Calibri" w:hAnsi="Calibri" w:cs="Calibri"/>
      <w:sz w:val="22"/>
    </w:rPr>
  </w:style>
  <w:style w:type="paragraph" w:styleId="TableofFigures">
    <w:name w:val="table of figures"/>
    <w:basedOn w:val="Normal"/>
    <w:next w:val="Normal"/>
    <w:uiPriority w:val="99"/>
    <w:unhideWhenUsed/>
    <w:rsid w:val="00317CFF"/>
  </w:style>
  <w:style w:type="character" w:customStyle="1" w:styleId="NoSpacingChar">
    <w:name w:val="No Spacing Char"/>
    <w:basedOn w:val="DefaultParagraphFont"/>
    <w:link w:val="NoSpacing"/>
    <w:uiPriority w:val="1"/>
    <w:rsid w:val="009F41FE"/>
    <w:rPr>
      <w:rFonts w:ascii="Calibri" w:eastAsia="Calibri" w:hAnsi="Calibri" w:cs="Arial"/>
      <w:sz w:val="20"/>
      <w:szCs w:val="20"/>
    </w:rPr>
  </w:style>
  <w:style w:type="paragraph" w:styleId="EndnoteText">
    <w:name w:val="endnote text"/>
    <w:basedOn w:val="Normal"/>
    <w:link w:val="EndnoteTextChar"/>
    <w:uiPriority w:val="99"/>
    <w:unhideWhenUsed/>
    <w:rsid w:val="00551135"/>
    <w:pPr>
      <w:spacing w:line="240" w:lineRule="auto"/>
    </w:pPr>
    <w:rPr>
      <w:rFonts w:ascii="Arial" w:hAnsi="Arial"/>
      <w:sz w:val="20"/>
      <w:lang w:val="en-ZA"/>
    </w:rPr>
  </w:style>
  <w:style w:type="character" w:customStyle="1" w:styleId="EndnoteTextChar">
    <w:name w:val="Endnote Text Char"/>
    <w:basedOn w:val="DefaultParagraphFont"/>
    <w:link w:val="EndnoteText"/>
    <w:uiPriority w:val="99"/>
    <w:rsid w:val="00551135"/>
    <w:rPr>
      <w:rFonts w:ascii="Arial" w:hAnsi="Arial"/>
      <w:sz w:val="20"/>
      <w:lang w:val="en-ZA"/>
    </w:rPr>
  </w:style>
  <w:style w:type="character" w:styleId="EndnoteReference">
    <w:name w:val="endnote reference"/>
    <w:basedOn w:val="DefaultParagraphFont"/>
    <w:uiPriority w:val="99"/>
    <w:unhideWhenUsed/>
    <w:rsid w:val="00551135"/>
    <w:rPr>
      <w:vertAlign w:val="superscript"/>
    </w:rPr>
  </w:style>
  <w:style w:type="character" w:customStyle="1" w:styleId="ListParagraphChar">
    <w:name w:val="List Paragraph Char"/>
    <w:aliases w:val="1st level - Bullet List Paragraph Char,List Paragraph1 Char,Lettre d'introduction Char,Paragrafo elenco Char,Resume Title Char,Bullet list Char,C-Change Char,Indent Paragraph Char"/>
    <w:link w:val="ListParagraph"/>
    <w:locked/>
    <w:rsid w:val="001244A3"/>
    <w:rPr>
      <w:sz w:val="22"/>
      <w:lang w:val="en-GB"/>
    </w:rPr>
  </w:style>
  <w:style w:type="table" w:styleId="LightList">
    <w:name w:val="Light List"/>
    <w:basedOn w:val="TableNormal"/>
    <w:uiPriority w:val="61"/>
    <w:rsid w:val="00BD62FD"/>
    <w:rPr>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62"/>
    <w:rsid w:val="008423B8"/>
    <w:rPr>
      <w:sz w:val="22"/>
      <w:szCs w:val="22"/>
      <w:lang w:val="en-Z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eGrid2">
    <w:name w:val="Table Grid2"/>
    <w:basedOn w:val="TableNormal"/>
    <w:next w:val="TableGrid"/>
    <w:uiPriority w:val="59"/>
    <w:rsid w:val="008639BC"/>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uiPriority w:val="9"/>
    <w:semiHidden/>
    <w:rsid w:val="00A47EB5"/>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uiPriority w:val="9"/>
    <w:semiHidden/>
    <w:rsid w:val="00A47EB5"/>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uiPriority w:val="9"/>
    <w:semiHidden/>
    <w:rsid w:val="00A47EB5"/>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uiPriority w:val="9"/>
    <w:semiHidden/>
    <w:rsid w:val="00A47E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uiPriority w:val="9"/>
    <w:semiHidden/>
    <w:rsid w:val="00A47EB5"/>
    <w:rPr>
      <w:rFonts w:asciiTheme="majorHAnsi" w:eastAsiaTheme="majorEastAsia" w:hAnsiTheme="majorHAnsi" w:cstheme="majorBidi"/>
      <w:i/>
      <w:iCs/>
      <w:color w:val="272727" w:themeColor="text1" w:themeTint="D8"/>
      <w:sz w:val="21"/>
      <w:szCs w:val="21"/>
      <w:lang w:val="en-GB"/>
    </w:rPr>
  </w:style>
  <w:style w:type="character" w:styleId="SubtleEmphasis">
    <w:name w:val="Subtle Emphasis"/>
    <w:basedOn w:val="DefaultParagraphFont"/>
    <w:uiPriority w:val="19"/>
    <w:qFormat/>
    <w:rsid w:val="00AD0BA5"/>
    <w:rPr>
      <w:i/>
      <w:iCs/>
      <w:color w:val="595959" w:themeColor="text1" w:themeTint="A6"/>
    </w:rPr>
  </w:style>
  <w:style w:type="numbering" w:customStyle="1" w:styleId="ZZBullets">
    <w:name w:val="ZZ Bullets"/>
    <w:rsid w:val="00C154F6"/>
    <w:pPr>
      <w:numPr>
        <w:numId w:val="2"/>
      </w:numPr>
    </w:pPr>
  </w:style>
  <w:style w:type="paragraph" w:styleId="Quote">
    <w:name w:val="Quote"/>
    <w:basedOn w:val="Normal"/>
    <w:next w:val="Normal"/>
    <w:link w:val="QuoteChar"/>
    <w:uiPriority w:val="29"/>
    <w:qFormat/>
    <w:rsid w:val="00193D96"/>
    <w:rPr>
      <w:i/>
      <w:iCs/>
      <w:color w:val="000000" w:themeColor="text1"/>
      <w:szCs w:val="22"/>
      <w:lang w:val="en-ZA"/>
    </w:rPr>
  </w:style>
  <w:style w:type="character" w:customStyle="1" w:styleId="QuoteChar">
    <w:name w:val="Quote Char"/>
    <w:basedOn w:val="DefaultParagraphFont"/>
    <w:link w:val="Quote"/>
    <w:uiPriority w:val="29"/>
    <w:rsid w:val="00193D96"/>
    <w:rPr>
      <w:i/>
      <w:iCs/>
      <w:color w:val="000000" w:themeColor="text1"/>
      <w:sz w:val="22"/>
      <w:szCs w:val="22"/>
      <w:lang w:val="en-ZA"/>
    </w:rPr>
  </w:style>
  <w:style w:type="paragraph" w:styleId="TOC3">
    <w:name w:val="toc 3"/>
    <w:basedOn w:val="Normal"/>
    <w:next w:val="Normal"/>
    <w:autoRedefine/>
    <w:uiPriority w:val="39"/>
    <w:unhideWhenUsed/>
    <w:rsid w:val="00905B98"/>
    <w:pPr>
      <w:spacing w:after="100"/>
      <w:ind w:left="440"/>
    </w:pPr>
  </w:style>
  <w:style w:type="paragraph" w:styleId="TOC4">
    <w:name w:val="toc 4"/>
    <w:basedOn w:val="Normal"/>
    <w:next w:val="Normal"/>
    <w:autoRedefine/>
    <w:uiPriority w:val="39"/>
    <w:unhideWhenUsed/>
    <w:rsid w:val="00905B98"/>
    <w:pPr>
      <w:spacing w:after="100" w:line="240" w:lineRule="auto"/>
      <w:ind w:left="720"/>
    </w:pPr>
    <w:rPr>
      <w:rFonts w:eastAsiaTheme="minorEastAsia"/>
      <w:sz w:val="24"/>
      <w:lang w:val="en-US"/>
    </w:rPr>
  </w:style>
  <w:style w:type="paragraph" w:styleId="TOC5">
    <w:name w:val="toc 5"/>
    <w:basedOn w:val="Normal"/>
    <w:next w:val="Normal"/>
    <w:autoRedefine/>
    <w:uiPriority w:val="39"/>
    <w:unhideWhenUsed/>
    <w:rsid w:val="00905B98"/>
    <w:pPr>
      <w:spacing w:after="100" w:line="240" w:lineRule="auto"/>
      <w:ind w:left="960"/>
    </w:pPr>
    <w:rPr>
      <w:rFonts w:eastAsiaTheme="minorEastAsia"/>
      <w:sz w:val="24"/>
      <w:lang w:val="en-US"/>
    </w:rPr>
  </w:style>
  <w:style w:type="paragraph" w:styleId="TOC6">
    <w:name w:val="toc 6"/>
    <w:basedOn w:val="Normal"/>
    <w:next w:val="Normal"/>
    <w:autoRedefine/>
    <w:uiPriority w:val="39"/>
    <w:unhideWhenUsed/>
    <w:rsid w:val="00905B98"/>
    <w:pPr>
      <w:spacing w:after="100" w:line="240" w:lineRule="auto"/>
      <w:ind w:left="1200"/>
    </w:pPr>
    <w:rPr>
      <w:rFonts w:eastAsiaTheme="minorEastAsia"/>
      <w:sz w:val="24"/>
      <w:lang w:val="en-US"/>
    </w:rPr>
  </w:style>
  <w:style w:type="paragraph" w:styleId="TOC7">
    <w:name w:val="toc 7"/>
    <w:basedOn w:val="Normal"/>
    <w:next w:val="Normal"/>
    <w:autoRedefine/>
    <w:uiPriority w:val="39"/>
    <w:unhideWhenUsed/>
    <w:rsid w:val="00905B98"/>
    <w:pPr>
      <w:spacing w:after="100" w:line="240" w:lineRule="auto"/>
      <w:ind w:left="1440"/>
    </w:pPr>
    <w:rPr>
      <w:rFonts w:eastAsiaTheme="minorEastAsia"/>
      <w:sz w:val="24"/>
      <w:lang w:val="en-US"/>
    </w:rPr>
  </w:style>
  <w:style w:type="paragraph" w:styleId="TOC8">
    <w:name w:val="toc 8"/>
    <w:basedOn w:val="Normal"/>
    <w:next w:val="Normal"/>
    <w:autoRedefine/>
    <w:uiPriority w:val="39"/>
    <w:unhideWhenUsed/>
    <w:rsid w:val="00905B98"/>
    <w:pPr>
      <w:spacing w:after="100" w:line="240" w:lineRule="auto"/>
      <w:ind w:left="1680"/>
    </w:pPr>
    <w:rPr>
      <w:rFonts w:eastAsiaTheme="minorEastAsia"/>
      <w:sz w:val="24"/>
      <w:lang w:val="en-US"/>
    </w:rPr>
  </w:style>
  <w:style w:type="paragraph" w:styleId="TOC9">
    <w:name w:val="toc 9"/>
    <w:basedOn w:val="Normal"/>
    <w:next w:val="Normal"/>
    <w:autoRedefine/>
    <w:uiPriority w:val="39"/>
    <w:unhideWhenUsed/>
    <w:rsid w:val="00905B98"/>
    <w:pPr>
      <w:spacing w:after="100" w:line="240" w:lineRule="auto"/>
      <w:ind w:left="1920"/>
    </w:pPr>
    <w:rPr>
      <w:rFonts w:eastAsiaTheme="minorEastAsia"/>
      <w:sz w:val="24"/>
      <w:lang w:val="en-US"/>
    </w:rPr>
  </w:style>
  <w:style w:type="character" w:customStyle="1" w:styleId="NormalWebChar">
    <w:name w:val="Normal (Web) Char"/>
    <w:basedOn w:val="DefaultParagraphFont"/>
    <w:link w:val="NormalWeb"/>
    <w:uiPriority w:val="99"/>
    <w:rsid w:val="004E0B52"/>
    <w:rPr>
      <w:rFonts w:ascii="Times New Roman" w:eastAsia="Times New Roman" w:hAnsi="Times New Roman" w:cs="Times New Roman"/>
    </w:rPr>
  </w:style>
  <w:style w:type="table" w:styleId="ListTable3-Accent6">
    <w:name w:val="List Table 3 Accent 6"/>
    <w:basedOn w:val="TableNormal"/>
    <w:uiPriority w:val="48"/>
    <w:rsid w:val="00B353F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941">
      <w:bodyDiv w:val="1"/>
      <w:marLeft w:val="0"/>
      <w:marRight w:val="0"/>
      <w:marTop w:val="0"/>
      <w:marBottom w:val="0"/>
      <w:divBdr>
        <w:top w:val="none" w:sz="0" w:space="0" w:color="auto"/>
        <w:left w:val="none" w:sz="0" w:space="0" w:color="auto"/>
        <w:bottom w:val="none" w:sz="0" w:space="0" w:color="auto"/>
        <w:right w:val="none" w:sz="0" w:space="0" w:color="auto"/>
      </w:divBdr>
    </w:div>
    <w:div w:id="97070671">
      <w:bodyDiv w:val="1"/>
      <w:marLeft w:val="0"/>
      <w:marRight w:val="0"/>
      <w:marTop w:val="0"/>
      <w:marBottom w:val="0"/>
      <w:divBdr>
        <w:top w:val="none" w:sz="0" w:space="0" w:color="auto"/>
        <w:left w:val="none" w:sz="0" w:space="0" w:color="auto"/>
        <w:bottom w:val="none" w:sz="0" w:space="0" w:color="auto"/>
        <w:right w:val="none" w:sz="0" w:space="0" w:color="auto"/>
      </w:divBdr>
    </w:div>
    <w:div w:id="135266519">
      <w:bodyDiv w:val="1"/>
      <w:marLeft w:val="0"/>
      <w:marRight w:val="0"/>
      <w:marTop w:val="0"/>
      <w:marBottom w:val="0"/>
      <w:divBdr>
        <w:top w:val="none" w:sz="0" w:space="0" w:color="auto"/>
        <w:left w:val="none" w:sz="0" w:space="0" w:color="auto"/>
        <w:bottom w:val="none" w:sz="0" w:space="0" w:color="auto"/>
        <w:right w:val="none" w:sz="0" w:space="0" w:color="auto"/>
      </w:divBdr>
    </w:div>
    <w:div w:id="168106585">
      <w:bodyDiv w:val="1"/>
      <w:marLeft w:val="0"/>
      <w:marRight w:val="0"/>
      <w:marTop w:val="0"/>
      <w:marBottom w:val="0"/>
      <w:divBdr>
        <w:top w:val="none" w:sz="0" w:space="0" w:color="auto"/>
        <w:left w:val="none" w:sz="0" w:space="0" w:color="auto"/>
        <w:bottom w:val="none" w:sz="0" w:space="0" w:color="auto"/>
        <w:right w:val="none" w:sz="0" w:space="0" w:color="auto"/>
      </w:divBdr>
    </w:div>
    <w:div w:id="242303465">
      <w:bodyDiv w:val="1"/>
      <w:marLeft w:val="0"/>
      <w:marRight w:val="0"/>
      <w:marTop w:val="0"/>
      <w:marBottom w:val="0"/>
      <w:divBdr>
        <w:top w:val="none" w:sz="0" w:space="0" w:color="auto"/>
        <w:left w:val="none" w:sz="0" w:space="0" w:color="auto"/>
        <w:bottom w:val="none" w:sz="0" w:space="0" w:color="auto"/>
        <w:right w:val="none" w:sz="0" w:space="0" w:color="auto"/>
      </w:divBdr>
    </w:div>
    <w:div w:id="246113101">
      <w:bodyDiv w:val="1"/>
      <w:marLeft w:val="0"/>
      <w:marRight w:val="0"/>
      <w:marTop w:val="0"/>
      <w:marBottom w:val="0"/>
      <w:divBdr>
        <w:top w:val="none" w:sz="0" w:space="0" w:color="auto"/>
        <w:left w:val="none" w:sz="0" w:space="0" w:color="auto"/>
        <w:bottom w:val="none" w:sz="0" w:space="0" w:color="auto"/>
        <w:right w:val="none" w:sz="0" w:space="0" w:color="auto"/>
      </w:divBdr>
    </w:div>
    <w:div w:id="279648333">
      <w:bodyDiv w:val="1"/>
      <w:marLeft w:val="0"/>
      <w:marRight w:val="0"/>
      <w:marTop w:val="0"/>
      <w:marBottom w:val="0"/>
      <w:divBdr>
        <w:top w:val="none" w:sz="0" w:space="0" w:color="auto"/>
        <w:left w:val="none" w:sz="0" w:space="0" w:color="auto"/>
        <w:bottom w:val="none" w:sz="0" w:space="0" w:color="auto"/>
        <w:right w:val="none" w:sz="0" w:space="0" w:color="auto"/>
      </w:divBdr>
    </w:div>
    <w:div w:id="286353141">
      <w:bodyDiv w:val="1"/>
      <w:marLeft w:val="0"/>
      <w:marRight w:val="0"/>
      <w:marTop w:val="0"/>
      <w:marBottom w:val="0"/>
      <w:divBdr>
        <w:top w:val="none" w:sz="0" w:space="0" w:color="auto"/>
        <w:left w:val="none" w:sz="0" w:space="0" w:color="auto"/>
        <w:bottom w:val="none" w:sz="0" w:space="0" w:color="auto"/>
        <w:right w:val="none" w:sz="0" w:space="0" w:color="auto"/>
      </w:divBdr>
    </w:div>
    <w:div w:id="382170676">
      <w:bodyDiv w:val="1"/>
      <w:marLeft w:val="0"/>
      <w:marRight w:val="0"/>
      <w:marTop w:val="0"/>
      <w:marBottom w:val="0"/>
      <w:divBdr>
        <w:top w:val="none" w:sz="0" w:space="0" w:color="auto"/>
        <w:left w:val="none" w:sz="0" w:space="0" w:color="auto"/>
        <w:bottom w:val="none" w:sz="0" w:space="0" w:color="auto"/>
        <w:right w:val="none" w:sz="0" w:space="0" w:color="auto"/>
      </w:divBdr>
    </w:div>
    <w:div w:id="403648700">
      <w:bodyDiv w:val="1"/>
      <w:marLeft w:val="0"/>
      <w:marRight w:val="0"/>
      <w:marTop w:val="0"/>
      <w:marBottom w:val="0"/>
      <w:divBdr>
        <w:top w:val="none" w:sz="0" w:space="0" w:color="auto"/>
        <w:left w:val="none" w:sz="0" w:space="0" w:color="auto"/>
        <w:bottom w:val="none" w:sz="0" w:space="0" w:color="auto"/>
        <w:right w:val="none" w:sz="0" w:space="0" w:color="auto"/>
      </w:divBdr>
    </w:div>
    <w:div w:id="430056512">
      <w:bodyDiv w:val="1"/>
      <w:marLeft w:val="0"/>
      <w:marRight w:val="0"/>
      <w:marTop w:val="0"/>
      <w:marBottom w:val="0"/>
      <w:divBdr>
        <w:top w:val="none" w:sz="0" w:space="0" w:color="auto"/>
        <w:left w:val="none" w:sz="0" w:space="0" w:color="auto"/>
        <w:bottom w:val="none" w:sz="0" w:space="0" w:color="auto"/>
        <w:right w:val="none" w:sz="0" w:space="0" w:color="auto"/>
      </w:divBdr>
    </w:div>
    <w:div w:id="446461516">
      <w:bodyDiv w:val="1"/>
      <w:marLeft w:val="0"/>
      <w:marRight w:val="0"/>
      <w:marTop w:val="0"/>
      <w:marBottom w:val="0"/>
      <w:divBdr>
        <w:top w:val="none" w:sz="0" w:space="0" w:color="auto"/>
        <w:left w:val="none" w:sz="0" w:space="0" w:color="auto"/>
        <w:bottom w:val="none" w:sz="0" w:space="0" w:color="auto"/>
        <w:right w:val="none" w:sz="0" w:space="0" w:color="auto"/>
      </w:divBdr>
    </w:div>
    <w:div w:id="471757082">
      <w:bodyDiv w:val="1"/>
      <w:marLeft w:val="0"/>
      <w:marRight w:val="0"/>
      <w:marTop w:val="0"/>
      <w:marBottom w:val="0"/>
      <w:divBdr>
        <w:top w:val="none" w:sz="0" w:space="0" w:color="auto"/>
        <w:left w:val="none" w:sz="0" w:space="0" w:color="auto"/>
        <w:bottom w:val="none" w:sz="0" w:space="0" w:color="auto"/>
        <w:right w:val="none" w:sz="0" w:space="0" w:color="auto"/>
      </w:divBdr>
    </w:div>
    <w:div w:id="530845830">
      <w:bodyDiv w:val="1"/>
      <w:marLeft w:val="0"/>
      <w:marRight w:val="0"/>
      <w:marTop w:val="0"/>
      <w:marBottom w:val="0"/>
      <w:divBdr>
        <w:top w:val="none" w:sz="0" w:space="0" w:color="auto"/>
        <w:left w:val="none" w:sz="0" w:space="0" w:color="auto"/>
        <w:bottom w:val="none" w:sz="0" w:space="0" w:color="auto"/>
        <w:right w:val="none" w:sz="0" w:space="0" w:color="auto"/>
      </w:divBdr>
    </w:div>
    <w:div w:id="547491432">
      <w:bodyDiv w:val="1"/>
      <w:marLeft w:val="0"/>
      <w:marRight w:val="0"/>
      <w:marTop w:val="0"/>
      <w:marBottom w:val="0"/>
      <w:divBdr>
        <w:top w:val="none" w:sz="0" w:space="0" w:color="auto"/>
        <w:left w:val="none" w:sz="0" w:space="0" w:color="auto"/>
        <w:bottom w:val="none" w:sz="0" w:space="0" w:color="auto"/>
        <w:right w:val="none" w:sz="0" w:space="0" w:color="auto"/>
      </w:divBdr>
    </w:div>
    <w:div w:id="582877456">
      <w:bodyDiv w:val="1"/>
      <w:marLeft w:val="0"/>
      <w:marRight w:val="0"/>
      <w:marTop w:val="0"/>
      <w:marBottom w:val="0"/>
      <w:divBdr>
        <w:top w:val="none" w:sz="0" w:space="0" w:color="auto"/>
        <w:left w:val="none" w:sz="0" w:space="0" w:color="auto"/>
        <w:bottom w:val="none" w:sz="0" w:space="0" w:color="auto"/>
        <w:right w:val="none" w:sz="0" w:space="0" w:color="auto"/>
      </w:divBdr>
    </w:div>
    <w:div w:id="762333872">
      <w:bodyDiv w:val="1"/>
      <w:marLeft w:val="0"/>
      <w:marRight w:val="0"/>
      <w:marTop w:val="0"/>
      <w:marBottom w:val="0"/>
      <w:divBdr>
        <w:top w:val="none" w:sz="0" w:space="0" w:color="auto"/>
        <w:left w:val="none" w:sz="0" w:space="0" w:color="auto"/>
        <w:bottom w:val="none" w:sz="0" w:space="0" w:color="auto"/>
        <w:right w:val="none" w:sz="0" w:space="0" w:color="auto"/>
      </w:divBdr>
    </w:div>
    <w:div w:id="805975718">
      <w:bodyDiv w:val="1"/>
      <w:marLeft w:val="0"/>
      <w:marRight w:val="0"/>
      <w:marTop w:val="0"/>
      <w:marBottom w:val="0"/>
      <w:divBdr>
        <w:top w:val="none" w:sz="0" w:space="0" w:color="auto"/>
        <w:left w:val="none" w:sz="0" w:space="0" w:color="auto"/>
        <w:bottom w:val="none" w:sz="0" w:space="0" w:color="auto"/>
        <w:right w:val="none" w:sz="0" w:space="0" w:color="auto"/>
      </w:divBdr>
    </w:div>
    <w:div w:id="895823820">
      <w:bodyDiv w:val="1"/>
      <w:marLeft w:val="0"/>
      <w:marRight w:val="0"/>
      <w:marTop w:val="0"/>
      <w:marBottom w:val="0"/>
      <w:divBdr>
        <w:top w:val="none" w:sz="0" w:space="0" w:color="auto"/>
        <w:left w:val="none" w:sz="0" w:space="0" w:color="auto"/>
        <w:bottom w:val="none" w:sz="0" w:space="0" w:color="auto"/>
        <w:right w:val="none" w:sz="0" w:space="0" w:color="auto"/>
      </w:divBdr>
    </w:div>
    <w:div w:id="968363609">
      <w:bodyDiv w:val="1"/>
      <w:marLeft w:val="0"/>
      <w:marRight w:val="0"/>
      <w:marTop w:val="0"/>
      <w:marBottom w:val="0"/>
      <w:divBdr>
        <w:top w:val="none" w:sz="0" w:space="0" w:color="auto"/>
        <w:left w:val="none" w:sz="0" w:space="0" w:color="auto"/>
        <w:bottom w:val="none" w:sz="0" w:space="0" w:color="auto"/>
        <w:right w:val="none" w:sz="0" w:space="0" w:color="auto"/>
      </w:divBdr>
    </w:div>
    <w:div w:id="1026296943">
      <w:bodyDiv w:val="1"/>
      <w:marLeft w:val="0"/>
      <w:marRight w:val="0"/>
      <w:marTop w:val="0"/>
      <w:marBottom w:val="0"/>
      <w:divBdr>
        <w:top w:val="none" w:sz="0" w:space="0" w:color="auto"/>
        <w:left w:val="none" w:sz="0" w:space="0" w:color="auto"/>
        <w:bottom w:val="none" w:sz="0" w:space="0" w:color="auto"/>
        <w:right w:val="none" w:sz="0" w:space="0" w:color="auto"/>
      </w:divBdr>
    </w:div>
    <w:div w:id="1041789260">
      <w:bodyDiv w:val="1"/>
      <w:marLeft w:val="0"/>
      <w:marRight w:val="0"/>
      <w:marTop w:val="0"/>
      <w:marBottom w:val="0"/>
      <w:divBdr>
        <w:top w:val="none" w:sz="0" w:space="0" w:color="auto"/>
        <w:left w:val="none" w:sz="0" w:space="0" w:color="auto"/>
        <w:bottom w:val="none" w:sz="0" w:space="0" w:color="auto"/>
        <w:right w:val="none" w:sz="0" w:space="0" w:color="auto"/>
      </w:divBdr>
    </w:div>
    <w:div w:id="1205677604">
      <w:bodyDiv w:val="1"/>
      <w:marLeft w:val="0"/>
      <w:marRight w:val="0"/>
      <w:marTop w:val="0"/>
      <w:marBottom w:val="0"/>
      <w:divBdr>
        <w:top w:val="none" w:sz="0" w:space="0" w:color="auto"/>
        <w:left w:val="none" w:sz="0" w:space="0" w:color="auto"/>
        <w:bottom w:val="none" w:sz="0" w:space="0" w:color="auto"/>
        <w:right w:val="none" w:sz="0" w:space="0" w:color="auto"/>
      </w:divBdr>
    </w:div>
    <w:div w:id="1331298411">
      <w:bodyDiv w:val="1"/>
      <w:marLeft w:val="0"/>
      <w:marRight w:val="0"/>
      <w:marTop w:val="0"/>
      <w:marBottom w:val="0"/>
      <w:divBdr>
        <w:top w:val="none" w:sz="0" w:space="0" w:color="auto"/>
        <w:left w:val="none" w:sz="0" w:space="0" w:color="auto"/>
        <w:bottom w:val="none" w:sz="0" w:space="0" w:color="auto"/>
        <w:right w:val="none" w:sz="0" w:space="0" w:color="auto"/>
      </w:divBdr>
    </w:div>
    <w:div w:id="1382363613">
      <w:bodyDiv w:val="1"/>
      <w:marLeft w:val="0"/>
      <w:marRight w:val="0"/>
      <w:marTop w:val="0"/>
      <w:marBottom w:val="0"/>
      <w:divBdr>
        <w:top w:val="none" w:sz="0" w:space="0" w:color="auto"/>
        <w:left w:val="none" w:sz="0" w:space="0" w:color="auto"/>
        <w:bottom w:val="none" w:sz="0" w:space="0" w:color="auto"/>
        <w:right w:val="none" w:sz="0" w:space="0" w:color="auto"/>
      </w:divBdr>
    </w:div>
    <w:div w:id="1474324227">
      <w:bodyDiv w:val="1"/>
      <w:marLeft w:val="0"/>
      <w:marRight w:val="0"/>
      <w:marTop w:val="0"/>
      <w:marBottom w:val="0"/>
      <w:divBdr>
        <w:top w:val="none" w:sz="0" w:space="0" w:color="auto"/>
        <w:left w:val="none" w:sz="0" w:space="0" w:color="auto"/>
        <w:bottom w:val="none" w:sz="0" w:space="0" w:color="auto"/>
        <w:right w:val="none" w:sz="0" w:space="0" w:color="auto"/>
      </w:divBdr>
    </w:div>
    <w:div w:id="1488743071">
      <w:bodyDiv w:val="1"/>
      <w:marLeft w:val="0"/>
      <w:marRight w:val="0"/>
      <w:marTop w:val="0"/>
      <w:marBottom w:val="0"/>
      <w:divBdr>
        <w:top w:val="none" w:sz="0" w:space="0" w:color="auto"/>
        <w:left w:val="none" w:sz="0" w:space="0" w:color="auto"/>
        <w:bottom w:val="none" w:sz="0" w:space="0" w:color="auto"/>
        <w:right w:val="none" w:sz="0" w:space="0" w:color="auto"/>
      </w:divBdr>
    </w:div>
    <w:div w:id="1634171194">
      <w:bodyDiv w:val="1"/>
      <w:marLeft w:val="0"/>
      <w:marRight w:val="0"/>
      <w:marTop w:val="0"/>
      <w:marBottom w:val="0"/>
      <w:divBdr>
        <w:top w:val="none" w:sz="0" w:space="0" w:color="auto"/>
        <w:left w:val="none" w:sz="0" w:space="0" w:color="auto"/>
        <w:bottom w:val="none" w:sz="0" w:space="0" w:color="auto"/>
        <w:right w:val="none" w:sz="0" w:space="0" w:color="auto"/>
      </w:divBdr>
    </w:div>
    <w:div w:id="1635061245">
      <w:bodyDiv w:val="1"/>
      <w:marLeft w:val="0"/>
      <w:marRight w:val="0"/>
      <w:marTop w:val="0"/>
      <w:marBottom w:val="0"/>
      <w:divBdr>
        <w:top w:val="none" w:sz="0" w:space="0" w:color="auto"/>
        <w:left w:val="none" w:sz="0" w:space="0" w:color="auto"/>
        <w:bottom w:val="none" w:sz="0" w:space="0" w:color="auto"/>
        <w:right w:val="none" w:sz="0" w:space="0" w:color="auto"/>
      </w:divBdr>
    </w:div>
    <w:div w:id="1641497699">
      <w:bodyDiv w:val="1"/>
      <w:marLeft w:val="0"/>
      <w:marRight w:val="0"/>
      <w:marTop w:val="0"/>
      <w:marBottom w:val="0"/>
      <w:divBdr>
        <w:top w:val="none" w:sz="0" w:space="0" w:color="auto"/>
        <w:left w:val="none" w:sz="0" w:space="0" w:color="auto"/>
        <w:bottom w:val="none" w:sz="0" w:space="0" w:color="auto"/>
        <w:right w:val="none" w:sz="0" w:space="0" w:color="auto"/>
      </w:divBdr>
    </w:div>
    <w:div w:id="1742172765">
      <w:bodyDiv w:val="1"/>
      <w:marLeft w:val="0"/>
      <w:marRight w:val="0"/>
      <w:marTop w:val="0"/>
      <w:marBottom w:val="0"/>
      <w:divBdr>
        <w:top w:val="none" w:sz="0" w:space="0" w:color="auto"/>
        <w:left w:val="none" w:sz="0" w:space="0" w:color="auto"/>
        <w:bottom w:val="none" w:sz="0" w:space="0" w:color="auto"/>
        <w:right w:val="none" w:sz="0" w:space="0" w:color="auto"/>
      </w:divBdr>
    </w:div>
    <w:div w:id="1753820837">
      <w:bodyDiv w:val="1"/>
      <w:marLeft w:val="0"/>
      <w:marRight w:val="0"/>
      <w:marTop w:val="0"/>
      <w:marBottom w:val="0"/>
      <w:divBdr>
        <w:top w:val="none" w:sz="0" w:space="0" w:color="auto"/>
        <w:left w:val="none" w:sz="0" w:space="0" w:color="auto"/>
        <w:bottom w:val="none" w:sz="0" w:space="0" w:color="auto"/>
        <w:right w:val="none" w:sz="0" w:space="0" w:color="auto"/>
      </w:divBdr>
    </w:div>
    <w:div w:id="1811743983">
      <w:bodyDiv w:val="1"/>
      <w:marLeft w:val="0"/>
      <w:marRight w:val="0"/>
      <w:marTop w:val="0"/>
      <w:marBottom w:val="0"/>
      <w:divBdr>
        <w:top w:val="none" w:sz="0" w:space="0" w:color="auto"/>
        <w:left w:val="none" w:sz="0" w:space="0" w:color="auto"/>
        <w:bottom w:val="none" w:sz="0" w:space="0" w:color="auto"/>
        <w:right w:val="none" w:sz="0" w:space="0" w:color="auto"/>
      </w:divBdr>
    </w:div>
    <w:div w:id="1821921532">
      <w:bodyDiv w:val="1"/>
      <w:marLeft w:val="0"/>
      <w:marRight w:val="0"/>
      <w:marTop w:val="0"/>
      <w:marBottom w:val="0"/>
      <w:divBdr>
        <w:top w:val="none" w:sz="0" w:space="0" w:color="auto"/>
        <w:left w:val="none" w:sz="0" w:space="0" w:color="auto"/>
        <w:bottom w:val="none" w:sz="0" w:space="0" w:color="auto"/>
        <w:right w:val="none" w:sz="0" w:space="0" w:color="auto"/>
      </w:divBdr>
    </w:div>
    <w:div w:id="1896500534">
      <w:bodyDiv w:val="1"/>
      <w:marLeft w:val="0"/>
      <w:marRight w:val="0"/>
      <w:marTop w:val="0"/>
      <w:marBottom w:val="0"/>
      <w:divBdr>
        <w:top w:val="none" w:sz="0" w:space="0" w:color="auto"/>
        <w:left w:val="none" w:sz="0" w:space="0" w:color="auto"/>
        <w:bottom w:val="none" w:sz="0" w:space="0" w:color="auto"/>
        <w:right w:val="none" w:sz="0" w:space="0" w:color="auto"/>
      </w:divBdr>
    </w:div>
    <w:div w:id="1898129387">
      <w:bodyDiv w:val="1"/>
      <w:marLeft w:val="0"/>
      <w:marRight w:val="0"/>
      <w:marTop w:val="0"/>
      <w:marBottom w:val="0"/>
      <w:divBdr>
        <w:top w:val="none" w:sz="0" w:space="0" w:color="auto"/>
        <w:left w:val="none" w:sz="0" w:space="0" w:color="auto"/>
        <w:bottom w:val="none" w:sz="0" w:space="0" w:color="auto"/>
        <w:right w:val="none" w:sz="0" w:space="0" w:color="auto"/>
      </w:divBdr>
    </w:div>
    <w:div w:id="1906715458">
      <w:bodyDiv w:val="1"/>
      <w:marLeft w:val="0"/>
      <w:marRight w:val="0"/>
      <w:marTop w:val="0"/>
      <w:marBottom w:val="0"/>
      <w:divBdr>
        <w:top w:val="none" w:sz="0" w:space="0" w:color="auto"/>
        <w:left w:val="none" w:sz="0" w:space="0" w:color="auto"/>
        <w:bottom w:val="none" w:sz="0" w:space="0" w:color="auto"/>
        <w:right w:val="none" w:sz="0" w:space="0" w:color="auto"/>
      </w:divBdr>
    </w:div>
    <w:div w:id="2025400412">
      <w:bodyDiv w:val="1"/>
      <w:marLeft w:val="0"/>
      <w:marRight w:val="0"/>
      <w:marTop w:val="0"/>
      <w:marBottom w:val="0"/>
      <w:divBdr>
        <w:top w:val="none" w:sz="0" w:space="0" w:color="auto"/>
        <w:left w:val="none" w:sz="0" w:space="0" w:color="auto"/>
        <w:bottom w:val="none" w:sz="0" w:space="0" w:color="auto"/>
        <w:right w:val="none" w:sz="0" w:space="0" w:color="auto"/>
      </w:divBdr>
    </w:div>
    <w:div w:id="2071030947">
      <w:bodyDiv w:val="1"/>
      <w:marLeft w:val="0"/>
      <w:marRight w:val="0"/>
      <w:marTop w:val="0"/>
      <w:marBottom w:val="0"/>
      <w:divBdr>
        <w:top w:val="none" w:sz="0" w:space="0" w:color="auto"/>
        <w:left w:val="none" w:sz="0" w:space="0" w:color="auto"/>
        <w:bottom w:val="none" w:sz="0" w:space="0" w:color="auto"/>
        <w:right w:val="none" w:sz="0" w:space="0" w:color="auto"/>
      </w:divBdr>
    </w:div>
    <w:div w:id="2078284677">
      <w:bodyDiv w:val="1"/>
      <w:marLeft w:val="0"/>
      <w:marRight w:val="0"/>
      <w:marTop w:val="0"/>
      <w:marBottom w:val="0"/>
      <w:divBdr>
        <w:top w:val="none" w:sz="0" w:space="0" w:color="auto"/>
        <w:left w:val="none" w:sz="0" w:space="0" w:color="auto"/>
        <w:bottom w:val="none" w:sz="0" w:space="0" w:color="auto"/>
        <w:right w:val="none" w:sz="0" w:space="0" w:color="auto"/>
      </w:divBdr>
    </w:div>
    <w:div w:id="21235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health.gov.za"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file:///C:\Documents%20and%20Settings\x\Local%20Settings\Temp\GWViewer\new%20logo%20eg.%201.jpg" TargetMode="External"/><Relationship Id="rId14" Type="http://schemas.openxmlformats.org/officeDocument/2006/relationships/image" Target="media/image2.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4EA5-54F7-4078-8A15-0D886DF1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15719</Words>
  <Characters>89603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Greensides</dc:creator>
  <cp:keywords/>
  <dc:description/>
  <cp:lastModifiedBy>Victoria Magomani</cp:lastModifiedBy>
  <cp:revision>2</cp:revision>
  <dcterms:created xsi:type="dcterms:W3CDTF">2019-10-28T05:15:00Z</dcterms:created>
  <dcterms:modified xsi:type="dcterms:W3CDTF">2019-10-28T05:15:00Z</dcterms:modified>
</cp:coreProperties>
</file>